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0284" w14:textId="4241B395" w:rsidR="00F41D3F" w:rsidRPr="00382B47" w:rsidRDefault="00F41D3F" w:rsidP="000F0542">
      <w:pPr>
        <w:pStyle w:val="western"/>
        <w:spacing w:before="0" w:beforeAutospacing="0" w:after="200"/>
        <w:jc w:val="center"/>
        <w:rPr>
          <w:rFonts w:ascii="Segoe UI" w:hAnsi="Segoe UI" w:cs="Segoe UI"/>
          <w:b/>
          <w:sz w:val="20"/>
          <w:szCs w:val="20"/>
        </w:rPr>
      </w:pPr>
      <w:r w:rsidRPr="00382B47">
        <w:rPr>
          <w:rFonts w:ascii="Segoe UI" w:hAnsi="Segoe UI" w:cs="Segoe UI"/>
          <w:b/>
          <w:sz w:val="20"/>
          <w:szCs w:val="20"/>
        </w:rPr>
        <w:t>ACORDO COLETIVO DE TRABALHO – BANRISUL</w:t>
      </w:r>
    </w:p>
    <w:p w14:paraId="0127F7A7" w14:textId="7C93EC8B" w:rsidR="00F41D3F" w:rsidRPr="00382B47" w:rsidRDefault="00F41D3F" w:rsidP="000F0542">
      <w:pPr>
        <w:pStyle w:val="western"/>
        <w:spacing w:before="0" w:beforeAutospacing="0" w:after="200"/>
        <w:jc w:val="center"/>
        <w:rPr>
          <w:rFonts w:ascii="Segoe UI" w:hAnsi="Segoe UI" w:cs="Segoe UI"/>
          <w:b/>
          <w:sz w:val="20"/>
          <w:szCs w:val="20"/>
        </w:rPr>
      </w:pPr>
      <w:r w:rsidRPr="00412019">
        <w:rPr>
          <w:rFonts w:ascii="Segoe UI" w:hAnsi="Segoe UI" w:cs="Segoe UI"/>
          <w:b/>
          <w:sz w:val="20"/>
          <w:szCs w:val="20"/>
        </w:rPr>
        <w:t>PROGRAMA DE PARTICIPAÇÃO NOS RESULTADOS</w:t>
      </w:r>
      <w:r w:rsidR="00382B47" w:rsidRPr="00412019">
        <w:rPr>
          <w:rFonts w:ascii="Segoe UI" w:hAnsi="Segoe UI" w:cs="Segoe UI"/>
          <w:b/>
          <w:sz w:val="20"/>
          <w:szCs w:val="20"/>
        </w:rPr>
        <w:t xml:space="preserve"> 202</w:t>
      </w:r>
      <w:r w:rsidR="00267614">
        <w:rPr>
          <w:rFonts w:ascii="Segoe UI" w:hAnsi="Segoe UI" w:cs="Segoe UI"/>
          <w:b/>
          <w:sz w:val="20"/>
          <w:szCs w:val="20"/>
        </w:rPr>
        <w:t>4</w:t>
      </w:r>
      <w:r w:rsidR="00382B47" w:rsidRPr="00412019">
        <w:rPr>
          <w:rFonts w:ascii="Segoe UI" w:hAnsi="Segoe UI" w:cs="Segoe UI"/>
          <w:b/>
          <w:sz w:val="20"/>
          <w:szCs w:val="20"/>
        </w:rPr>
        <w:t xml:space="preserve"> </w:t>
      </w:r>
      <w:r w:rsidR="0076182B">
        <w:rPr>
          <w:rFonts w:ascii="Segoe UI" w:hAnsi="Segoe UI" w:cs="Segoe UI"/>
          <w:b/>
          <w:sz w:val="20"/>
          <w:szCs w:val="20"/>
        </w:rPr>
        <w:t>e 2025</w:t>
      </w:r>
      <w:r w:rsidR="00D612DB">
        <w:rPr>
          <w:rFonts w:ascii="Segoe UI" w:hAnsi="Segoe UI" w:cs="Segoe UI"/>
          <w:b/>
          <w:sz w:val="20"/>
          <w:szCs w:val="20"/>
        </w:rPr>
        <w:t xml:space="preserve"> </w:t>
      </w:r>
      <w:r w:rsidR="00382B47" w:rsidRPr="00412019">
        <w:rPr>
          <w:rFonts w:ascii="Segoe UI" w:hAnsi="Segoe UI" w:cs="Segoe UI"/>
          <w:b/>
          <w:sz w:val="20"/>
          <w:szCs w:val="20"/>
        </w:rPr>
        <w:t>– PPR</w:t>
      </w:r>
      <w:r w:rsidR="00267614">
        <w:rPr>
          <w:rFonts w:ascii="Segoe UI" w:hAnsi="Segoe UI" w:cs="Segoe UI"/>
          <w:b/>
          <w:sz w:val="20"/>
          <w:szCs w:val="20"/>
        </w:rPr>
        <w:t xml:space="preserve"> </w:t>
      </w:r>
      <w:r w:rsidR="00382B47" w:rsidRPr="00412019">
        <w:rPr>
          <w:rFonts w:ascii="Segoe UI" w:hAnsi="Segoe UI" w:cs="Segoe UI"/>
          <w:b/>
          <w:sz w:val="20"/>
          <w:szCs w:val="20"/>
        </w:rPr>
        <w:t>202</w:t>
      </w:r>
      <w:r w:rsidR="00412019" w:rsidRPr="00412019">
        <w:rPr>
          <w:rFonts w:ascii="Segoe UI" w:hAnsi="Segoe UI" w:cs="Segoe UI"/>
          <w:b/>
          <w:sz w:val="20"/>
          <w:szCs w:val="20"/>
        </w:rPr>
        <w:t>4</w:t>
      </w:r>
      <w:r w:rsidR="0076182B">
        <w:rPr>
          <w:rFonts w:ascii="Segoe UI" w:hAnsi="Segoe UI" w:cs="Segoe UI"/>
          <w:b/>
          <w:sz w:val="20"/>
          <w:szCs w:val="20"/>
        </w:rPr>
        <w:t xml:space="preserve"> e </w:t>
      </w:r>
      <w:r w:rsidR="006A5099">
        <w:rPr>
          <w:rFonts w:ascii="Segoe UI" w:hAnsi="Segoe UI" w:cs="Segoe UI"/>
          <w:b/>
          <w:sz w:val="20"/>
          <w:szCs w:val="20"/>
        </w:rPr>
        <w:t xml:space="preserve">PPR </w:t>
      </w:r>
      <w:r w:rsidR="0076182B">
        <w:rPr>
          <w:rFonts w:ascii="Segoe UI" w:hAnsi="Segoe UI" w:cs="Segoe UI"/>
          <w:b/>
          <w:sz w:val="20"/>
          <w:szCs w:val="20"/>
        </w:rPr>
        <w:t>2025</w:t>
      </w:r>
    </w:p>
    <w:p w14:paraId="3E6856B5" w14:textId="77777777" w:rsidR="00F41D3F" w:rsidRPr="00382B47" w:rsidRDefault="00F41D3F" w:rsidP="000F0542">
      <w:pPr>
        <w:pStyle w:val="western"/>
        <w:spacing w:before="0" w:beforeAutospacing="0" w:after="200"/>
        <w:jc w:val="both"/>
        <w:rPr>
          <w:rFonts w:ascii="Segoe UI" w:hAnsi="Segoe UI" w:cs="Segoe UI"/>
          <w:bCs/>
          <w:sz w:val="20"/>
          <w:szCs w:val="20"/>
        </w:rPr>
      </w:pPr>
    </w:p>
    <w:p w14:paraId="43D33C04" w14:textId="2A41F800" w:rsidR="00F41D3F" w:rsidRPr="00382B47" w:rsidRDefault="00F41D3F" w:rsidP="000F0542">
      <w:pPr>
        <w:pStyle w:val="western"/>
        <w:spacing w:before="0" w:beforeAutospacing="0" w:after="200"/>
        <w:jc w:val="both"/>
        <w:rPr>
          <w:rFonts w:ascii="Segoe UI" w:hAnsi="Segoe UI" w:cs="Segoe UI"/>
          <w:bCs/>
          <w:sz w:val="20"/>
          <w:szCs w:val="20"/>
        </w:rPr>
      </w:pPr>
      <w:r w:rsidRPr="00382B47">
        <w:rPr>
          <w:rFonts w:ascii="Segoe UI" w:hAnsi="Segoe UI" w:cs="Segoe UI"/>
          <w:bCs/>
          <w:sz w:val="20"/>
          <w:szCs w:val="20"/>
        </w:rPr>
        <w:t>FEDERACÃO DOS TRABALHADORES E TRABALHADORAS EM INSTITUICÕES FINANCEIRAS DO RIO GRANDE DO SUL, CNPJ n. 92.962.232/0001-49, por seus representantes legais  neste ato representando as bases inorganizadas</w:t>
      </w:r>
      <w:r w:rsidR="00D37D5C" w:rsidRPr="00382B47">
        <w:rPr>
          <w:rFonts w:ascii="Segoe UI" w:hAnsi="Segoe UI" w:cs="Segoe UI"/>
          <w:bCs/>
          <w:sz w:val="20"/>
          <w:szCs w:val="20"/>
        </w:rPr>
        <w:t xml:space="preserve"> no Estado</w:t>
      </w:r>
      <w:r w:rsidRPr="00382B47">
        <w:rPr>
          <w:rFonts w:ascii="Segoe UI" w:hAnsi="Segoe UI" w:cs="Segoe UI"/>
          <w:bCs/>
          <w:sz w:val="20"/>
          <w:szCs w:val="20"/>
        </w:rPr>
        <w:t xml:space="preserve"> e os seus sindicatos filiados cujas assembleias lhes outorgaram poderes para tal</w:t>
      </w:r>
      <w:r w:rsidR="00791955" w:rsidRPr="00382B47">
        <w:rPr>
          <w:rFonts w:ascii="Segoe UI" w:hAnsi="Segoe UI" w:cs="Segoe UI"/>
          <w:bCs/>
          <w:strike/>
          <w:sz w:val="20"/>
          <w:szCs w:val="20"/>
        </w:rPr>
        <w:t xml:space="preserve">, </w:t>
      </w:r>
      <w:r w:rsidRPr="00382B47">
        <w:rPr>
          <w:rFonts w:ascii="Segoe UI" w:hAnsi="Segoe UI" w:cs="Segoe UI"/>
          <w:bCs/>
          <w:sz w:val="20"/>
          <w:szCs w:val="20"/>
        </w:rPr>
        <w:t>SINDICATO DOS EMPREGADOS EM ESTABELECIMENTOS BANCARIOS DE ARARANGUA E REGIAO, CNPJ n. 79.679.445/0001-08, neste ato representado por s</w:t>
      </w:r>
      <w:r w:rsidR="00791955" w:rsidRPr="00382B47">
        <w:rPr>
          <w:rFonts w:ascii="Segoe UI" w:hAnsi="Segoe UI" w:cs="Segoe UI"/>
          <w:bCs/>
          <w:sz w:val="20"/>
          <w:szCs w:val="20"/>
        </w:rPr>
        <w:t>eu</w:t>
      </w:r>
      <w:r w:rsidRPr="00382B47">
        <w:rPr>
          <w:rFonts w:ascii="Segoe UI" w:hAnsi="Segoe UI" w:cs="Segoe UI"/>
          <w:bCs/>
          <w:sz w:val="20"/>
          <w:szCs w:val="20"/>
        </w:rPr>
        <w:t>s procurador</w:t>
      </w:r>
      <w:r w:rsidR="00791955" w:rsidRPr="00382B47">
        <w:rPr>
          <w:rFonts w:ascii="Segoe UI" w:hAnsi="Segoe UI" w:cs="Segoe UI"/>
          <w:bCs/>
          <w:sz w:val="20"/>
          <w:szCs w:val="20"/>
        </w:rPr>
        <w:t>e</w:t>
      </w:r>
      <w:r w:rsidRPr="00382B47">
        <w:rPr>
          <w:rFonts w:ascii="Segoe UI" w:hAnsi="Segoe UI" w:cs="Segoe UI"/>
          <w:bCs/>
          <w:sz w:val="20"/>
          <w:szCs w:val="20"/>
        </w:rPr>
        <w:t xml:space="preserve">s </w:t>
      </w:r>
      <w:r w:rsidRPr="00382B47">
        <w:rPr>
          <w:rFonts w:ascii="Segoe UI" w:hAnsi="Segoe UI" w:cs="Segoe UI"/>
          <w:sz w:val="20"/>
          <w:szCs w:val="20"/>
        </w:rPr>
        <w:t>Denise Falkenberg Corrêa</w:t>
      </w:r>
      <w:r w:rsidR="00791955" w:rsidRPr="00382B47">
        <w:rPr>
          <w:rFonts w:ascii="Segoe UI" w:hAnsi="Segoe UI" w:cs="Segoe UI"/>
          <w:sz w:val="20"/>
          <w:szCs w:val="20"/>
        </w:rPr>
        <w:t>, Mauro Salles Machado</w:t>
      </w:r>
      <w:r w:rsidRPr="00382B47">
        <w:rPr>
          <w:rFonts w:ascii="Segoe UI" w:hAnsi="Segoe UI" w:cs="Segoe UI"/>
          <w:sz w:val="20"/>
          <w:szCs w:val="20"/>
        </w:rPr>
        <w:t xml:space="preserve"> e Maria Betim Furquim</w:t>
      </w:r>
      <w:r w:rsidRPr="00382B47">
        <w:rPr>
          <w:rFonts w:ascii="Segoe UI" w:hAnsi="Segoe UI" w:cs="Segoe UI"/>
          <w:bCs/>
          <w:sz w:val="20"/>
          <w:szCs w:val="20"/>
        </w:rPr>
        <w:t xml:space="preserve">; </w:t>
      </w:r>
      <w:r w:rsidRPr="00382B47">
        <w:rPr>
          <w:rFonts w:ascii="Segoe UI" w:hAnsi="Segoe UI" w:cs="Segoe UI"/>
          <w:sz w:val="20"/>
          <w:szCs w:val="20"/>
        </w:rPr>
        <w:t xml:space="preserve">SINDICATO DOS EMPREGADOS EM ESTABECIMENTOS BANCÁRIOS DE BRASILIA, inscrito no CNPJ/MF sob o ne. 00.720.771.0001-53, com endereço à EQS 314/315 Sul, Bloco "A" - Asa Sul- </w:t>
      </w:r>
      <w:proofErr w:type="spellStart"/>
      <w:r w:rsidRPr="00382B47">
        <w:rPr>
          <w:rFonts w:ascii="Segoe UI" w:hAnsi="Segoe UI" w:cs="Segoe UI"/>
          <w:sz w:val="20"/>
          <w:szCs w:val="20"/>
        </w:rPr>
        <w:t>Brasilia</w:t>
      </w:r>
      <w:proofErr w:type="spellEnd"/>
      <w:r w:rsidRPr="00382B47">
        <w:rPr>
          <w:rFonts w:ascii="Segoe UI" w:hAnsi="Segoe UI" w:cs="Segoe UI"/>
          <w:sz w:val="20"/>
          <w:szCs w:val="20"/>
        </w:rPr>
        <w:t xml:space="preserve"> - DF, por seu Diretor-Presidente KLEYTTON GUIMARAES MORAIS, Bancário, CPF n9 781.375.355-00, RG n 2355520,</w:t>
      </w:r>
      <w:r w:rsidRPr="00382B47">
        <w:rPr>
          <w:rFonts w:ascii="Segoe UI" w:hAnsi="Segoe UI" w:cs="Segoe UI"/>
          <w:bCs/>
          <w:sz w:val="20"/>
          <w:szCs w:val="20"/>
        </w:rPr>
        <w:t xml:space="preserve"> neste ato representado </w:t>
      </w:r>
      <w:r w:rsidR="00791955" w:rsidRPr="00382B47">
        <w:rPr>
          <w:rFonts w:ascii="Segoe UI" w:hAnsi="Segoe UI" w:cs="Segoe UI"/>
          <w:bCs/>
          <w:sz w:val="20"/>
          <w:szCs w:val="20"/>
        </w:rPr>
        <w:t xml:space="preserve">por seus procuradores </w:t>
      </w:r>
      <w:r w:rsidR="00791955" w:rsidRPr="00382B47">
        <w:rPr>
          <w:rFonts w:ascii="Segoe UI" w:hAnsi="Segoe UI" w:cs="Segoe UI"/>
          <w:sz w:val="20"/>
          <w:szCs w:val="20"/>
        </w:rPr>
        <w:t>Denise Falkenberg Corrêa, Mauro Salles Machado e Maria Betim Furquim</w:t>
      </w:r>
      <w:r w:rsidRPr="00382B47">
        <w:rPr>
          <w:rFonts w:ascii="Segoe UI" w:hAnsi="Segoe UI" w:cs="Segoe UI"/>
          <w:bCs/>
          <w:sz w:val="20"/>
          <w:szCs w:val="20"/>
        </w:rPr>
        <w:t xml:space="preserve">; SINDICATO DOS EMPREGADOS EM ESTABABELECIMENTOS BANCARIOS CHAPECO, CNPJ n. 76.875.772/0001- 39, 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Pr="00382B47">
        <w:rPr>
          <w:rFonts w:ascii="Segoe UI" w:hAnsi="Segoe UI" w:cs="Segoe UI"/>
          <w:bCs/>
          <w:sz w:val="20"/>
          <w:szCs w:val="20"/>
        </w:rPr>
        <w:t xml:space="preserve">; SINDICATO DOS EMPREGADOS EM ESTABELECIMENTOS BANCARIOS DE CONCORDIA E REGIAO, CNPJ n. 78.510.427/0001-27, 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Pr="00382B47">
        <w:rPr>
          <w:rFonts w:ascii="Segoe UI" w:hAnsi="Segoe UI" w:cs="Segoe UI"/>
          <w:bCs/>
          <w:sz w:val="20"/>
          <w:szCs w:val="20"/>
        </w:rPr>
        <w:t xml:space="preserve">; SINDICATO DOS BANCARIOS E FINANCIARIOS DE CRICIUMA E REGIAO, CNPJ n. 83.669.648/0001- 82, 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Pr="00382B47">
        <w:rPr>
          <w:rFonts w:ascii="Segoe UI" w:hAnsi="Segoe UI" w:cs="Segoe UI"/>
          <w:bCs/>
          <w:sz w:val="20"/>
          <w:szCs w:val="20"/>
        </w:rPr>
        <w:t xml:space="preserve">; SINDICATO DOS EMPREGADOS EM ESTABELECIMENTOS BANCARIOS DE JOACABA E REGIAO, CNPJ n. 84.591.098/0001-99, 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Pr="00382B47">
        <w:rPr>
          <w:rFonts w:ascii="Segoe UI" w:hAnsi="Segoe UI" w:cs="Segoe UI"/>
          <w:bCs/>
          <w:sz w:val="20"/>
          <w:szCs w:val="20"/>
        </w:rPr>
        <w:t xml:space="preserve">; SINDICATO DOS EMPREGADOS EM ESTABELECIMENTOS BANCARIOS DE BLUMENAU E REGIAO, CNPJ n. 82663949/0001-36, 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Pr="00382B47">
        <w:rPr>
          <w:rFonts w:ascii="Segoe UI" w:hAnsi="Segoe UI" w:cs="Segoe UI"/>
          <w:bCs/>
          <w:sz w:val="20"/>
          <w:szCs w:val="20"/>
        </w:rPr>
        <w:t xml:space="preserve">; SINDICATO DOS TRABALHADORES DO RAMO FINANCEIRO DE FLORIANÓPOLIS E REGIÃO, 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Pr="00382B47">
        <w:rPr>
          <w:rFonts w:ascii="Segoe UI" w:hAnsi="Segoe UI" w:cs="Segoe UI"/>
          <w:bCs/>
          <w:sz w:val="20"/>
          <w:szCs w:val="20"/>
        </w:rPr>
        <w:t xml:space="preserve">; SINDICATO DOS EMPREGADOS EM ESTABELECIMENTOS BANCÁRIOS E FINANCIÁRIOS DO RIO DE JANEIRO, inscrito no </w:t>
      </w:r>
      <w:r w:rsidR="00E92753" w:rsidRPr="00382B47">
        <w:rPr>
          <w:rFonts w:ascii="Segoe UI" w:hAnsi="Segoe UI" w:cs="Segoe UI"/>
          <w:bCs/>
          <w:sz w:val="20"/>
          <w:szCs w:val="20"/>
        </w:rPr>
        <w:t>CNPJ</w:t>
      </w:r>
      <w:r w:rsidRPr="00382B47">
        <w:rPr>
          <w:rFonts w:ascii="Segoe UI" w:hAnsi="Segoe UI" w:cs="Segoe UI"/>
          <w:bCs/>
          <w:sz w:val="20"/>
          <w:szCs w:val="20"/>
        </w:rPr>
        <w:t xml:space="preserve"> sob nº 33094269/0001-33, 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Pr="00382B47">
        <w:rPr>
          <w:rFonts w:ascii="Segoe UI" w:hAnsi="Segoe UI" w:cs="Segoe UI"/>
          <w:sz w:val="20"/>
          <w:szCs w:val="20"/>
        </w:rPr>
        <w:t xml:space="preserve">; </w:t>
      </w:r>
      <w:r w:rsidRPr="00382B47">
        <w:rPr>
          <w:rFonts w:ascii="Segoe UI" w:hAnsi="Segoe UI" w:cs="Segoe UI"/>
          <w:bCs/>
          <w:sz w:val="20"/>
          <w:szCs w:val="20"/>
        </w:rPr>
        <w:t xml:space="preserve">  </w:t>
      </w:r>
      <w:r w:rsidRPr="00382B47">
        <w:rPr>
          <w:rFonts w:ascii="Segoe UI" w:hAnsi="Segoe UI" w:cs="Segoe UI"/>
          <w:sz w:val="20"/>
          <w:szCs w:val="20"/>
        </w:rPr>
        <w:t xml:space="preserve">SINDICATO DOS EMPREGADOS EM ESTABELECIMENTOS BANCÁRIOS DE SÃO PAULO, inscrito no CNPJ/MF sob o nº 61.651.675/0001-95, </w:t>
      </w:r>
      <w:r w:rsidRPr="00382B47">
        <w:rPr>
          <w:rFonts w:ascii="Segoe UI" w:hAnsi="Segoe UI" w:cs="Segoe UI"/>
          <w:bCs/>
          <w:sz w:val="20"/>
          <w:szCs w:val="20"/>
        </w:rPr>
        <w:t xml:space="preserve">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Pr="00382B47">
        <w:rPr>
          <w:rFonts w:ascii="Segoe UI" w:hAnsi="Segoe UI" w:cs="Segoe UI"/>
          <w:bCs/>
          <w:sz w:val="20"/>
          <w:szCs w:val="20"/>
        </w:rPr>
        <w:t>;</w:t>
      </w:r>
      <w:r w:rsidRPr="00382B47">
        <w:rPr>
          <w:rFonts w:ascii="Segoe UI" w:hAnsi="Segoe UI" w:cs="Segoe UI"/>
          <w:sz w:val="20"/>
          <w:szCs w:val="20"/>
        </w:rPr>
        <w:t xml:space="preserve"> </w:t>
      </w:r>
      <w:r w:rsidR="009F405C" w:rsidRPr="00382B47">
        <w:rPr>
          <w:rFonts w:ascii="Segoe UI" w:hAnsi="Segoe UI" w:cs="Segoe UI"/>
          <w:bCs/>
          <w:sz w:val="20"/>
          <w:szCs w:val="20"/>
        </w:rPr>
        <w:t xml:space="preserve">SINDICATO DOS EMPREGADOS EM ESTABELECIMENTOS BANCÁRIOS DE BALNEÁRIO CAMBORIÚ E REGIÃO, 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009F405C" w:rsidRPr="00382B47">
        <w:rPr>
          <w:rFonts w:ascii="Segoe UI" w:hAnsi="Segoe UI" w:cs="Segoe UI"/>
          <w:bCs/>
          <w:sz w:val="20"/>
          <w:szCs w:val="20"/>
        </w:rPr>
        <w:t xml:space="preserve">; SINDICATO DOS EMPREGADOS EM ESTABELECIMENTOS BANCÁRIOS DE CAÇADOR, 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009F405C" w:rsidRPr="00382B47">
        <w:rPr>
          <w:rFonts w:ascii="Segoe UI" w:hAnsi="Segoe UI" w:cs="Segoe UI"/>
          <w:bCs/>
          <w:sz w:val="20"/>
          <w:szCs w:val="20"/>
        </w:rPr>
        <w:t xml:space="preserve">;  SINDICATO DOS EMPREGADOS EM ESTABELECIMENTOS BANCÁRIOS DE JOINVILE, 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009F405C" w:rsidRPr="00382B47">
        <w:rPr>
          <w:rFonts w:ascii="Segoe UI" w:hAnsi="Segoe UI" w:cs="Segoe UI"/>
          <w:bCs/>
          <w:sz w:val="20"/>
          <w:szCs w:val="20"/>
        </w:rPr>
        <w:t>;  SINDICATO DOS EMPREGADOS EM ESTABELECIMENTOS BANCÁRIOS DE LAGES</w:t>
      </w:r>
      <w:r w:rsidR="00403927" w:rsidRPr="00382B47">
        <w:rPr>
          <w:rFonts w:ascii="Segoe UI" w:hAnsi="Segoe UI" w:cs="Segoe UI"/>
          <w:bCs/>
          <w:sz w:val="20"/>
          <w:szCs w:val="20"/>
        </w:rPr>
        <w:t xml:space="preserve">, neste ato representado por </w:t>
      </w:r>
      <w:r w:rsidR="0070489A" w:rsidRPr="00382B47">
        <w:rPr>
          <w:rFonts w:ascii="Segoe UI" w:hAnsi="Segoe UI" w:cs="Segoe UI"/>
          <w:bCs/>
          <w:sz w:val="20"/>
          <w:szCs w:val="20"/>
        </w:rPr>
        <w:t xml:space="preserve">seus procuradores </w:t>
      </w:r>
      <w:r w:rsidR="0070489A" w:rsidRPr="00382B47">
        <w:rPr>
          <w:rFonts w:ascii="Segoe UI" w:hAnsi="Segoe UI" w:cs="Segoe UI"/>
          <w:sz w:val="20"/>
          <w:szCs w:val="20"/>
        </w:rPr>
        <w:t>Denise Falkenberg Corrêa, Mauro Salles Machado e Maria Betim Furquim</w:t>
      </w:r>
      <w:r w:rsidR="00403927" w:rsidRPr="00382B47">
        <w:rPr>
          <w:rFonts w:ascii="Segoe UI" w:hAnsi="Segoe UI" w:cs="Segoe UI"/>
          <w:bCs/>
          <w:sz w:val="20"/>
          <w:szCs w:val="20"/>
        </w:rPr>
        <w:t xml:space="preserve">; </w:t>
      </w:r>
      <w:r w:rsidR="009F405C" w:rsidRPr="00382B47">
        <w:rPr>
          <w:rFonts w:ascii="Segoe UI" w:hAnsi="Segoe UI" w:cs="Segoe UI"/>
          <w:bCs/>
          <w:sz w:val="20"/>
          <w:szCs w:val="20"/>
        </w:rPr>
        <w:t>SINDICATO DOS EMPREGADOS EM ESTABELECIMENTOS BANCÁRIOS DE TUBARÃO E REGIÃO,</w:t>
      </w:r>
      <w:r w:rsidR="00403927" w:rsidRPr="00382B47">
        <w:rPr>
          <w:rFonts w:ascii="Segoe UI" w:hAnsi="Segoe UI" w:cs="Segoe UI"/>
          <w:bCs/>
          <w:sz w:val="20"/>
          <w:szCs w:val="20"/>
        </w:rPr>
        <w:t xml:space="preserve"> neste ato representado por </w:t>
      </w:r>
      <w:r w:rsidR="007C1D2C" w:rsidRPr="00382B47">
        <w:rPr>
          <w:rFonts w:ascii="Segoe UI" w:hAnsi="Segoe UI" w:cs="Segoe UI"/>
          <w:bCs/>
          <w:sz w:val="20"/>
          <w:szCs w:val="20"/>
        </w:rPr>
        <w:t xml:space="preserve">seus procuradores </w:t>
      </w:r>
      <w:r w:rsidR="007C1D2C" w:rsidRPr="00382B47">
        <w:rPr>
          <w:rFonts w:ascii="Segoe UI" w:hAnsi="Segoe UI" w:cs="Segoe UI"/>
          <w:sz w:val="20"/>
          <w:szCs w:val="20"/>
        </w:rPr>
        <w:t>Denise Falkenberg Corrêa, Mauro Salles Machado e Maria Betim Furquim</w:t>
      </w:r>
      <w:r w:rsidR="00403927" w:rsidRPr="00382B47">
        <w:rPr>
          <w:rFonts w:ascii="Segoe UI" w:hAnsi="Segoe UI" w:cs="Segoe UI"/>
          <w:bCs/>
          <w:sz w:val="20"/>
          <w:szCs w:val="20"/>
        </w:rPr>
        <w:t xml:space="preserve">; </w:t>
      </w:r>
      <w:r w:rsidRPr="00382B47">
        <w:rPr>
          <w:rFonts w:ascii="Segoe UI" w:hAnsi="Segoe UI" w:cs="Segoe UI"/>
          <w:sz w:val="20"/>
          <w:szCs w:val="20"/>
        </w:rPr>
        <w:t xml:space="preserve">SINDICATO DOS EMPREGADOS EM ESTABELECIMENTOS BANCÁRIOS DE VIDEIRA, inscrito no CNPJ/MF sob o nº 02450129/0001-27, </w:t>
      </w:r>
      <w:r w:rsidRPr="00382B47">
        <w:rPr>
          <w:rFonts w:ascii="Segoe UI" w:hAnsi="Segoe UI" w:cs="Segoe UI"/>
          <w:bCs/>
          <w:sz w:val="20"/>
          <w:szCs w:val="20"/>
        </w:rPr>
        <w:t xml:space="preserve">neste ato representado por </w:t>
      </w:r>
      <w:r w:rsidR="007C1D2C" w:rsidRPr="00382B47">
        <w:rPr>
          <w:rFonts w:ascii="Segoe UI" w:hAnsi="Segoe UI" w:cs="Segoe UI"/>
          <w:bCs/>
          <w:sz w:val="20"/>
          <w:szCs w:val="20"/>
        </w:rPr>
        <w:t xml:space="preserve">seus procuradores </w:t>
      </w:r>
      <w:r w:rsidR="007C1D2C" w:rsidRPr="00382B47">
        <w:rPr>
          <w:rFonts w:ascii="Segoe UI" w:hAnsi="Segoe UI" w:cs="Segoe UI"/>
          <w:sz w:val="20"/>
          <w:szCs w:val="20"/>
        </w:rPr>
        <w:t>Denise Falkenberg Corrêa, Mauro Salles Machado e Maria Betim Furquim</w:t>
      </w:r>
      <w:r w:rsidRPr="00382B47">
        <w:rPr>
          <w:rFonts w:ascii="Segoe UI" w:hAnsi="Segoe UI" w:cs="Segoe UI"/>
          <w:bCs/>
          <w:sz w:val="20"/>
          <w:szCs w:val="20"/>
        </w:rPr>
        <w:t xml:space="preserve">; </w:t>
      </w:r>
      <w:r w:rsidRPr="00382B47">
        <w:rPr>
          <w:rFonts w:ascii="Segoe UI" w:hAnsi="Segoe UI" w:cs="Segoe UI"/>
          <w:sz w:val="20"/>
          <w:szCs w:val="20"/>
        </w:rPr>
        <w:t xml:space="preserve">SINDICATO DOS EMPREGADOS EM ESTABELECIMENTOS BANCÁRIOS, FINANCIÁRIOS E EMPRESAS DE CRÉDITO DE CURITIBA, inscrito no CNPJ sob nº 76587955/0001-59, neste ato representado por </w:t>
      </w:r>
      <w:r w:rsidR="007C1D2C" w:rsidRPr="00382B47">
        <w:rPr>
          <w:rFonts w:ascii="Segoe UI" w:hAnsi="Segoe UI" w:cs="Segoe UI"/>
          <w:bCs/>
          <w:sz w:val="20"/>
          <w:szCs w:val="20"/>
        </w:rPr>
        <w:t xml:space="preserve">seus procuradores </w:t>
      </w:r>
      <w:r w:rsidR="007C1D2C" w:rsidRPr="00382B47">
        <w:rPr>
          <w:rFonts w:ascii="Segoe UI" w:hAnsi="Segoe UI" w:cs="Segoe UI"/>
          <w:sz w:val="20"/>
          <w:szCs w:val="20"/>
        </w:rPr>
        <w:t>Denise Falkenberg Corrêa, Mauro Salles Machado e Maria Betim Furquim</w:t>
      </w:r>
      <w:r w:rsidRPr="00382B47">
        <w:rPr>
          <w:rFonts w:ascii="Segoe UI" w:hAnsi="Segoe UI" w:cs="Segoe UI"/>
          <w:sz w:val="20"/>
          <w:szCs w:val="20"/>
        </w:rPr>
        <w:t>; e,</w:t>
      </w:r>
      <w:r w:rsidRPr="00382B47">
        <w:rPr>
          <w:rFonts w:ascii="Segoe UI" w:hAnsi="Segoe UI" w:cs="Segoe UI"/>
          <w:bCs/>
          <w:sz w:val="20"/>
          <w:szCs w:val="20"/>
        </w:rPr>
        <w:t xml:space="preserve"> BANCO DO ESTADO DO RIO GRANDE DO SUL SA - BANRISUL, CNPJ n. 92.702.067/0001-96, por s</w:t>
      </w:r>
      <w:r w:rsidR="00D37D5C" w:rsidRPr="00382B47">
        <w:rPr>
          <w:rFonts w:ascii="Segoe UI" w:hAnsi="Segoe UI" w:cs="Segoe UI"/>
          <w:bCs/>
          <w:sz w:val="20"/>
          <w:szCs w:val="20"/>
        </w:rPr>
        <w:t>ua representação legal</w:t>
      </w:r>
      <w:r w:rsidR="00281B23" w:rsidRPr="00382B47">
        <w:rPr>
          <w:rFonts w:ascii="Segoe UI" w:hAnsi="Segoe UI" w:cs="Segoe UI"/>
          <w:bCs/>
          <w:sz w:val="20"/>
          <w:szCs w:val="20"/>
        </w:rPr>
        <w:t xml:space="preserve"> e </w:t>
      </w:r>
      <w:r w:rsidR="00281B23" w:rsidRPr="00382B47">
        <w:rPr>
          <w:rFonts w:ascii="Segoe UI" w:hAnsi="Segoe UI" w:cs="Segoe UI"/>
          <w:sz w:val="20"/>
          <w:szCs w:val="20"/>
          <w:shd w:val="clear" w:color="auto" w:fill="FFFFFF"/>
        </w:rPr>
        <w:t>BANRISUL CARTÕES S.A., CNPJ n. 92.934.215/0001-06, por seu representante legal,</w:t>
      </w:r>
      <w:r w:rsidRPr="00382B47">
        <w:rPr>
          <w:rFonts w:ascii="Segoe UI" w:hAnsi="Segoe UI" w:cs="Segoe UI"/>
          <w:bCs/>
          <w:sz w:val="20"/>
          <w:szCs w:val="20"/>
        </w:rPr>
        <w:t xml:space="preserve"> celebram o presente ACORDO COLETIVO DE TRABALHO, que estipula as condições complementares</w:t>
      </w:r>
      <w:r w:rsidR="00D37D5C" w:rsidRPr="00382B47">
        <w:rPr>
          <w:rFonts w:ascii="Segoe UI" w:hAnsi="Segoe UI" w:cs="Segoe UI"/>
          <w:bCs/>
          <w:sz w:val="20"/>
          <w:szCs w:val="20"/>
        </w:rPr>
        <w:t xml:space="preserve"> às demais Normas Coletivas de Trabalho, tratando aqui especificamente de regras relacionadas com o Programa de Participação nos Resultados, e será regido pelas seguintes cláusulas</w:t>
      </w:r>
      <w:r w:rsidRPr="00382B47">
        <w:rPr>
          <w:rFonts w:ascii="Segoe UI" w:hAnsi="Segoe UI" w:cs="Segoe UI"/>
          <w:bCs/>
          <w:sz w:val="20"/>
          <w:szCs w:val="20"/>
        </w:rPr>
        <w:t>:</w:t>
      </w:r>
    </w:p>
    <w:p w14:paraId="729CBCDE" w14:textId="77777777" w:rsidR="00DB18C0" w:rsidRPr="00382B47" w:rsidRDefault="00DB18C0" w:rsidP="000F0542">
      <w:pPr>
        <w:pStyle w:val="NormalWeb"/>
        <w:spacing w:before="0" w:beforeAutospacing="0" w:after="200" w:afterAutospacing="0"/>
        <w:jc w:val="both"/>
        <w:rPr>
          <w:rFonts w:ascii="Segoe UI" w:hAnsi="Segoe UI" w:cs="Segoe UI"/>
          <w:sz w:val="20"/>
          <w:szCs w:val="20"/>
        </w:rPr>
      </w:pPr>
    </w:p>
    <w:p w14:paraId="6674AB6E" w14:textId="034B2247" w:rsidR="000F1755" w:rsidRPr="00382B47" w:rsidRDefault="000F1755" w:rsidP="000F0542">
      <w:pPr>
        <w:pStyle w:val="NormalWeb"/>
        <w:spacing w:before="0" w:beforeAutospacing="0" w:after="200" w:afterAutospacing="0"/>
        <w:jc w:val="both"/>
        <w:rPr>
          <w:rFonts w:ascii="Segoe UI" w:hAnsi="Segoe UI" w:cs="Segoe UI"/>
          <w:b/>
          <w:sz w:val="20"/>
          <w:szCs w:val="20"/>
        </w:rPr>
      </w:pPr>
      <w:r w:rsidRPr="00382B47">
        <w:rPr>
          <w:rFonts w:ascii="Segoe UI" w:hAnsi="Segoe UI" w:cs="Segoe UI"/>
          <w:b/>
          <w:sz w:val="20"/>
          <w:szCs w:val="20"/>
        </w:rPr>
        <w:t>CLÁUSULA PRIMEIRA – VIGÊNCIA E DATA-BASE</w:t>
      </w:r>
    </w:p>
    <w:p w14:paraId="24E18B95" w14:textId="0586742E" w:rsidR="000F1755" w:rsidRPr="00382B47" w:rsidRDefault="000F1755" w:rsidP="000F0542">
      <w:pPr>
        <w:pStyle w:val="NormalWeb"/>
        <w:spacing w:before="0" w:beforeAutospacing="0" w:after="200" w:afterAutospacing="0"/>
        <w:jc w:val="both"/>
        <w:rPr>
          <w:rFonts w:ascii="Segoe UI" w:hAnsi="Segoe UI" w:cs="Segoe UI"/>
          <w:sz w:val="20"/>
          <w:szCs w:val="20"/>
        </w:rPr>
      </w:pPr>
      <w:r w:rsidRPr="00D84F3E">
        <w:rPr>
          <w:rFonts w:ascii="Segoe UI" w:hAnsi="Segoe UI" w:cs="Segoe UI"/>
          <w:sz w:val="20"/>
          <w:szCs w:val="20"/>
        </w:rPr>
        <w:t xml:space="preserve">As partes fixam a vigência </w:t>
      </w:r>
      <w:r w:rsidRPr="0074488D">
        <w:rPr>
          <w:rFonts w:ascii="Segoe UI" w:hAnsi="Segoe UI" w:cs="Segoe UI"/>
          <w:sz w:val="20"/>
          <w:szCs w:val="20"/>
        </w:rPr>
        <w:t xml:space="preserve">do presente Acordo Coletivo de Trabalho no período de 01º de janeiro de </w:t>
      </w:r>
      <w:r w:rsidR="00D4660C" w:rsidRPr="0074488D">
        <w:rPr>
          <w:rFonts w:ascii="Segoe UI" w:hAnsi="Segoe UI" w:cs="Segoe UI"/>
          <w:sz w:val="20"/>
          <w:szCs w:val="20"/>
        </w:rPr>
        <w:t xml:space="preserve">2024 </w:t>
      </w:r>
      <w:r w:rsidRPr="0074488D">
        <w:rPr>
          <w:rFonts w:ascii="Segoe UI" w:hAnsi="Segoe UI" w:cs="Segoe UI"/>
          <w:sz w:val="20"/>
          <w:szCs w:val="20"/>
        </w:rPr>
        <w:t xml:space="preserve">a 31 de dezembro de </w:t>
      </w:r>
      <w:r w:rsidR="00D4660C" w:rsidRPr="0074488D">
        <w:rPr>
          <w:rFonts w:ascii="Segoe UI" w:hAnsi="Segoe UI" w:cs="Segoe UI"/>
          <w:sz w:val="20"/>
          <w:szCs w:val="20"/>
        </w:rPr>
        <w:t>202</w:t>
      </w:r>
      <w:r w:rsidR="002C0830" w:rsidRPr="0074488D">
        <w:rPr>
          <w:rFonts w:ascii="Segoe UI" w:hAnsi="Segoe UI" w:cs="Segoe UI"/>
          <w:sz w:val="20"/>
          <w:szCs w:val="20"/>
        </w:rPr>
        <w:t>5</w:t>
      </w:r>
      <w:r w:rsidR="007D0372" w:rsidRPr="0074488D">
        <w:rPr>
          <w:rFonts w:ascii="Segoe UI" w:hAnsi="Segoe UI" w:cs="Segoe UI"/>
          <w:sz w:val="20"/>
          <w:szCs w:val="20"/>
        </w:rPr>
        <w:t>, mantida para os demais fins a data-base da categoria em 1º de setembro</w:t>
      </w:r>
      <w:r w:rsidR="007D0372" w:rsidRPr="0074488D">
        <w:rPr>
          <w:rFonts w:ascii="Segoe UI" w:hAnsi="Segoe UI" w:cs="Segoe UI"/>
          <w:sz w:val="20"/>
          <w:szCs w:val="20"/>
          <w:highlight w:val="yellow"/>
        </w:rPr>
        <w:t>.</w:t>
      </w:r>
      <w:r w:rsidR="00311A5C" w:rsidRPr="0074488D">
        <w:rPr>
          <w:rFonts w:ascii="Segoe UI" w:hAnsi="Segoe UI" w:cs="Segoe UI"/>
          <w:sz w:val="20"/>
          <w:szCs w:val="20"/>
        </w:rPr>
        <w:t xml:space="preserve"> </w:t>
      </w:r>
    </w:p>
    <w:p w14:paraId="7BB486D3" w14:textId="77777777" w:rsidR="000F1755" w:rsidRPr="00382B47" w:rsidRDefault="000F1755" w:rsidP="000F0542">
      <w:pPr>
        <w:pStyle w:val="NormalWeb"/>
        <w:spacing w:before="0" w:beforeAutospacing="0" w:after="200" w:afterAutospacing="0"/>
        <w:jc w:val="both"/>
        <w:rPr>
          <w:rFonts w:ascii="Segoe UI" w:hAnsi="Segoe UI" w:cs="Segoe UI"/>
          <w:sz w:val="20"/>
          <w:szCs w:val="20"/>
        </w:rPr>
      </w:pPr>
    </w:p>
    <w:p w14:paraId="57A55997" w14:textId="3EF857CF" w:rsidR="000F1755" w:rsidRPr="00382B47" w:rsidRDefault="000F1755" w:rsidP="000F0542">
      <w:pPr>
        <w:pStyle w:val="NormalWeb"/>
        <w:spacing w:before="0" w:beforeAutospacing="0" w:after="200" w:afterAutospacing="0"/>
        <w:jc w:val="both"/>
        <w:rPr>
          <w:rFonts w:ascii="Segoe UI" w:hAnsi="Segoe UI" w:cs="Segoe UI"/>
          <w:b/>
          <w:sz w:val="20"/>
          <w:szCs w:val="20"/>
        </w:rPr>
      </w:pPr>
      <w:r w:rsidRPr="00382B47">
        <w:rPr>
          <w:rFonts w:ascii="Segoe UI" w:hAnsi="Segoe UI" w:cs="Segoe UI"/>
          <w:b/>
          <w:sz w:val="20"/>
          <w:szCs w:val="20"/>
        </w:rPr>
        <w:t xml:space="preserve">CLÁUSULA SEGUNDA – ABRANGÊNCIA </w:t>
      </w:r>
      <w:r w:rsidR="009F405C" w:rsidRPr="00382B47">
        <w:rPr>
          <w:rFonts w:ascii="Segoe UI" w:hAnsi="Segoe UI" w:cs="Segoe UI"/>
          <w:b/>
          <w:sz w:val="20"/>
          <w:szCs w:val="20"/>
        </w:rPr>
        <w:t>NORMATIVA</w:t>
      </w:r>
    </w:p>
    <w:p w14:paraId="6BE7803C" w14:textId="444577DB" w:rsidR="000F1755" w:rsidRPr="00382B47" w:rsidRDefault="00C109EB" w:rsidP="000F0542">
      <w:pPr>
        <w:pStyle w:val="TxBrc6"/>
        <w:spacing w:after="200" w:line="240" w:lineRule="auto"/>
        <w:jc w:val="both"/>
        <w:rPr>
          <w:rFonts w:ascii="Segoe UI" w:hAnsi="Segoe UI" w:cs="Segoe UI"/>
          <w:bCs/>
          <w:sz w:val="20"/>
          <w:szCs w:val="20"/>
          <w:lang w:val="pt-BR"/>
        </w:rPr>
      </w:pPr>
      <w:r w:rsidRPr="00382B47">
        <w:rPr>
          <w:rFonts w:ascii="Segoe UI" w:hAnsi="Segoe UI" w:cs="Segoe UI"/>
          <w:bCs/>
          <w:sz w:val="20"/>
          <w:szCs w:val="20"/>
          <w:lang w:val="pt-BR"/>
        </w:rPr>
        <w:t xml:space="preserve">As partes estabelecem que este Acordo Coletivo de Trabalho, tem abrangência para todos os empregados(as) do Banrisul lotados no Rio Grande do Sul, representados pela </w:t>
      </w:r>
      <w:proofErr w:type="spellStart"/>
      <w:r w:rsidRPr="00382B47">
        <w:rPr>
          <w:rFonts w:ascii="Segoe UI" w:hAnsi="Segoe UI" w:cs="Segoe UI"/>
          <w:bCs/>
          <w:sz w:val="20"/>
          <w:szCs w:val="20"/>
          <w:lang w:val="pt-BR"/>
        </w:rPr>
        <w:t>Fetrafi</w:t>
      </w:r>
      <w:proofErr w:type="spellEnd"/>
      <w:r w:rsidRPr="00382B47">
        <w:rPr>
          <w:rFonts w:ascii="Segoe UI" w:hAnsi="Segoe UI" w:cs="Segoe UI"/>
          <w:bCs/>
          <w:sz w:val="20"/>
          <w:szCs w:val="20"/>
          <w:lang w:val="pt-BR"/>
        </w:rPr>
        <w:t>/RS</w:t>
      </w:r>
      <w:r w:rsidR="00ED070F" w:rsidRPr="00382B47">
        <w:rPr>
          <w:rFonts w:ascii="Segoe UI" w:hAnsi="Segoe UI" w:cs="Segoe UI"/>
          <w:bCs/>
          <w:sz w:val="20"/>
          <w:szCs w:val="20"/>
          <w:lang w:val="pt-BR"/>
        </w:rPr>
        <w:t xml:space="preserve"> por deliberação expressa das respectivas assembleias </w:t>
      </w:r>
      <w:r w:rsidR="00ED070F" w:rsidRPr="00412019">
        <w:rPr>
          <w:rFonts w:ascii="Segoe UI" w:hAnsi="Segoe UI" w:cs="Segoe UI"/>
          <w:bCs/>
          <w:sz w:val="20"/>
          <w:szCs w:val="20"/>
          <w:lang w:val="pt-BR"/>
        </w:rPr>
        <w:t>gerais,</w:t>
      </w:r>
      <w:r w:rsidR="008451D2" w:rsidRPr="00412019">
        <w:rPr>
          <w:rFonts w:ascii="Segoe UI" w:hAnsi="Segoe UI" w:cs="Segoe UI"/>
          <w:bCs/>
          <w:sz w:val="20"/>
          <w:szCs w:val="20"/>
          <w:lang w:val="pt-BR"/>
        </w:rPr>
        <w:t xml:space="preserve"> além</w:t>
      </w:r>
      <w:r w:rsidR="008451D2" w:rsidRPr="00382B47">
        <w:rPr>
          <w:rFonts w:ascii="Segoe UI" w:hAnsi="Segoe UI" w:cs="Segoe UI"/>
          <w:bCs/>
          <w:sz w:val="20"/>
          <w:szCs w:val="20"/>
          <w:lang w:val="pt-BR"/>
        </w:rPr>
        <w:t xml:space="preserve"> daqueles entes sindicais especificamente identificados no preâmbulo da presente Norma Coletiva de Trabalho.</w:t>
      </w:r>
    </w:p>
    <w:p w14:paraId="3EE1F329" w14:textId="77777777" w:rsidR="00901A6D" w:rsidRPr="00382B47" w:rsidRDefault="00901A6D" w:rsidP="000F0542">
      <w:pPr>
        <w:pStyle w:val="NormalWeb"/>
        <w:spacing w:before="0" w:beforeAutospacing="0" w:after="200" w:afterAutospacing="0"/>
        <w:jc w:val="both"/>
        <w:rPr>
          <w:rFonts w:ascii="Segoe UI" w:hAnsi="Segoe UI" w:cs="Segoe UI"/>
          <w:sz w:val="20"/>
          <w:szCs w:val="20"/>
        </w:rPr>
      </w:pPr>
    </w:p>
    <w:p w14:paraId="7F641689" w14:textId="6B9499EC" w:rsidR="000F1755" w:rsidRPr="00382B47" w:rsidRDefault="000F1755" w:rsidP="000F0542">
      <w:pPr>
        <w:pStyle w:val="NormalWeb"/>
        <w:spacing w:before="0" w:beforeAutospacing="0" w:after="200" w:afterAutospacing="0"/>
        <w:jc w:val="both"/>
        <w:rPr>
          <w:rFonts w:ascii="Segoe UI" w:hAnsi="Segoe UI" w:cs="Segoe UI"/>
          <w:b/>
          <w:sz w:val="20"/>
          <w:szCs w:val="20"/>
        </w:rPr>
      </w:pPr>
      <w:r w:rsidRPr="00382B47">
        <w:rPr>
          <w:rFonts w:ascii="Segoe UI" w:hAnsi="Segoe UI" w:cs="Segoe UI"/>
          <w:b/>
          <w:sz w:val="20"/>
          <w:szCs w:val="20"/>
        </w:rPr>
        <w:t>CLÁUSULA TERCEIRA – CONSIDERANDOS</w:t>
      </w:r>
    </w:p>
    <w:p w14:paraId="3DC1793C" w14:textId="77777777" w:rsidR="000F1755" w:rsidRPr="00382B47" w:rsidRDefault="000F1755" w:rsidP="000F0542">
      <w:pPr>
        <w:spacing w:after="200" w:line="240" w:lineRule="auto"/>
        <w:jc w:val="both"/>
        <w:rPr>
          <w:rFonts w:ascii="Segoe UI" w:hAnsi="Segoe UI" w:cs="Segoe UI"/>
          <w:sz w:val="20"/>
          <w:szCs w:val="20"/>
        </w:rPr>
      </w:pPr>
      <w:r w:rsidRPr="00382B47">
        <w:rPr>
          <w:rFonts w:ascii="Segoe UI" w:hAnsi="Segoe UI" w:cs="Segoe UI"/>
          <w:sz w:val="20"/>
          <w:szCs w:val="20"/>
        </w:rPr>
        <w:t>Considerando que a participação dos trabalhadores nos resultados da empresa, prevista no inciso XI do art. 7° da Constituição da República, é regulada pela Lei n° 10.101/2000;</w:t>
      </w:r>
    </w:p>
    <w:p w14:paraId="06ED1E96" w14:textId="77777777" w:rsidR="00A84BE7" w:rsidRDefault="000F1755" w:rsidP="000F0542">
      <w:pPr>
        <w:spacing w:after="200" w:line="240" w:lineRule="auto"/>
        <w:jc w:val="both"/>
        <w:rPr>
          <w:rFonts w:ascii="Segoe UI" w:hAnsi="Segoe UI" w:cs="Segoe UI"/>
          <w:sz w:val="20"/>
          <w:szCs w:val="20"/>
        </w:rPr>
      </w:pPr>
      <w:r w:rsidRPr="00382B47">
        <w:rPr>
          <w:rFonts w:ascii="Segoe UI" w:hAnsi="Segoe UI" w:cs="Segoe UI"/>
          <w:sz w:val="20"/>
          <w:szCs w:val="20"/>
        </w:rPr>
        <w:t>Considerando que a Lei n° 10.101/2000 dispõe em seu art. 2°: “A participação nos lucros ou resultados será objeto de negociação entre a empresa e seus empregados, mediante um dos procedimentos a seguir descritos, escolhidos pelas partes de comum acordo:</w:t>
      </w:r>
      <w:r w:rsidR="00311A5C" w:rsidRPr="00382B47">
        <w:rPr>
          <w:rFonts w:ascii="Segoe UI" w:hAnsi="Segoe UI" w:cs="Segoe UI"/>
          <w:sz w:val="20"/>
          <w:szCs w:val="20"/>
        </w:rPr>
        <w:t xml:space="preserve">  </w:t>
      </w:r>
    </w:p>
    <w:p w14:paraId="1108421F" w14:textId="04DD640D" w:rsidR="00A84BE7" w:rsidRPr="00A84BE7" w:rsidRDefault="000F1755" w:rsidP="00A84BE7">
      <w:pPr>
        <w:pStyle w:val="PargrafodaLista"/>
        <w:numPr>
          <w:ilvl w:val="0"/>
          <w:numId w:val="5"/>
        </w:numPr>
        <w:spacing w:after="200" w:line="240" w:lineRule="auto"/>
        <w:jc w:val="both"/>
        <w:rPr>
          <w:rFonts w:ascii="Segoe UI" w:hAnsi="Segoe UI" w:cs="Segoe UI"/>
          <w:sz w:val="20"/>
          <w:szCs w:val="20"/>
        </w:rPr>
      </w:pPr>
      <w:r w:rsidRPr="00A84BE7">
        <w:rPr>
          <w:rFonts w:ascii="Segoe UI" w:hAnsi="Segoe UI" w:cs="Segoe UI"/>
          <w:sz w:val="20"/>
          <w:szCs w:val="20"/>
        </w:rPr>
        <w:t>comissão paritária escolhida pelas partes, integrada, também, por um representante indicado pelo sindicato da respectiva categoria;</w:t>
      </w:r>
      <w:r w:rsidR="00311A5C" w:rsidRPr="00A84BE7">
        <w:rPr>
          <w:rFonts w:ascii="Segoe UI" w:hAnsi="Segoe UI" w:cs="Segoe UI"/>
          <w:sz w:val="20"/>
          <w:szCs w:val="20"/>
        </w:rPr>
        <w:t xml:space="preserve"> </w:t>
      </w:r>
    </w:p>
    <w:p w14:paraId="117388E3" w14:textId="7CA330FA" w:rsidR="000F1755" w:rsidRPr="00A84BE7" w:rsidRDefault="000F1755" w:rsidP="00A84BE7">
      <w:pPr>
        <w:pStyle w:val="PargrafodaLista"/>
        <w:numPr>
          <w:ilvl w:val="0"/>
          <w:numId w:val="5"/>
        </w:numPr>
        <w:spacing w:after="200" w:line="240" w:lineRule="auto"/>
        <w:jc w:val="both"/>
        <w:rPr>
          <w:rFonts w:ascii="Segoe UI" w:hAnsi="Segoe UI" w:cs="Segoe UI"/>
          <w:sz w:val="20"/>
          <w:szCs w:val="20"/>
        </w:rPr>
      </w:pPr>
      <w:r w:rsidRPr="00A84BE7">
        <w:rPr>
          <w:rFonts w:ascii="Segoe UI" w:hAnsi="Segoe UI" w:cs="Segoe UI"/>
          <w:sz w:val="20"/>
          <w:szCs w:val="20"/>
        </w:rPr>
        <w:t>convenção ou acordo coletivo.”</w:t>
      </w:r>
    </w:p>
    <w:p w14:paraId="20E1CF8A" w14:textId="7B7B7DFC" w:rsidR="007361FB" w:rsidRPr="00C510C4" w:rsidRDefault="000F1755" w:rsidP="00C510C4">
      <w:pPr>
        <w:spacing w:after="200" w:line="240" w:lineRule="auto"/>
        <w:jc w:val="both"/>
        <w:rPr>
          <w:rFonts w:ascii="Segoe UI" w:hAnsi="Segoe UI" w:cs="Segoe UI"/>
          <w:sz w:val="20"/>
          <w:szCs w:val="20"/>
        </w:rPr>
      </w:pPr>
      <w:r w:rsidRPr="00382B47">
        <w:rPr>
          <w:rFonts w:ascii="Segoe UI" w:hAnsi="Segoe UI" w:cs="Segoe UI"/>
          <w:sz w:val="20"/>
          <w:szCs w:val="20"/>
        </w:rPr>
        <w:t xml:space="preserve">Resolvem acordar a participação dos empregados nos resultados do BANRISUL </w:t>
      </w:r>
      <w:r w:rsidR="008451D2" w:rsidRPr="00382B47">
        <w:rPr>
          <w:rFonts w:ascii="Segoe UI" w:hAnsi="Segoe UI" w:cs="Segoe UI"/>
          <w:sz w:val="20"/>
          <w:szCs w:val="20"/>
        </w:rPr>
        <w:t xml:space="preserve">para </w:t>
      </w:r>
      <w:r w:rsidRPr="00382B47">
        <w:rPr>
          <w:rFonts w:ascii="Segoe UI" w:hAnsi="Segoe UI" w:cs="Segoe UI"/>
          <w:sz w:val="20"/>
          <w:szCs w:val="20"/>
        </w:rPr>
        <w:t>o</w:t>
      </w:r>
      <w:r w:rsidR="002C0830">
        <w:rPr>
          <w:rFonts w:ascii="Segoe UI" w:hAnsi="Segoe UI" w:cs="Segoe UI"/>
          <w:sz w:val="20"/>
          <w:szCs w:val="20"/>
        </w:rPr>
        <w:t>s</w:t>
      </w:r>
      <w:r w:rsidRPr="00382B47">
        <w:rPr>
          <w:rFonts w:ascii="Segoe UI" w:hAnsi="Segoe UI" w:cs="Segoe UI"/>
          <w:sz w:val="20"/>
          <w:szCs w:val="20"/>
        </w:rPr>
        <w:t xml:space="preserve"> ano</w:t>
      </w:r>
      <w:r w:rsidR="002C0830">
        <w:rPr>
          <w:rFonts w:ascii="Segoe UI" w:hAnsi="Segoe UI" w:cs="Segoe UI"/>
          <w:sz w:val="20"/>
          <w:szCs w:val="20"/>
        </w:rPr>
        <w:t>s</w:t>
      </w:r>
      <w:r w:rsidRPr="00382B47">
        <w:rPr>
          <w:rFonts w:ascii="Segoe UI" w:hAnsi="Segoe UI" w:cs="Segoe UI"/>
          <w:sz w:val="20"/>
          <w:szCs w:val="20"/>
        </w:rPr>
        <w:t xml:space="preserve"> de </w:t>
      </w:r>
      <w:r w:rsidR="00311A5C" w:rsidRPr="00382B47">
        <w:rPr>
          <w:rFonts w:ascii="Segoe UI" w:hAnsi="Segoe UI" w:cs="Segoe UI"/>
          <w:sz w:val="20"/>
          <w:szCs w:val="20"/>
        </w:rPr>
        <w:t>202</w:t>
      </w:r>
      <w:r w:rsidR="00D820FB">
        <w:rPr>
          <w:rFonts w:ascii="Segoe UI" w:hAnsi="Segoe UI" w:cs="Segoe UI"/>
          <w:sz w:val="20"/>
          <w:szCs w:val="20"/>
        </w:rPr>
        <w:t>4</w:t>
      </w:r>
      <w:r w:rsidR="002C0830">
        <w:rPr>
          <w:rFonts w:ascii="Segoe UI" w:hAnsi="Segoe UI" w:cs="Segoe UI"/>
          <w:sz w:val="20"/>
          <w:szCs w:val="20"/>
        </w:rPr>
        <w:t xml:space="preserve"> e 2025</w:t>
      </w:r>
      <w:r w:rsidRPr="00382B47">
        <w:rPr>
          <w:rFonts w:ascii="Segoe UI" w:hAnsi="Segoe UI" w:cs="Segoe UI"/>
          <w:sz w:val="20"/>
          <w:szCs w:val="20"/>
        </w:rPr>
        <w:t>, na forma do inciso II do art. 2º da Lei nº 10.101/2000, com a redação dada pelo art. 1º da Lei nº 12.832/2013, instituindo Programa de Participação nos Resultados, mediante as cláusulas e condições estabelecidas neste Acordo Coletivo de Trabalho.</w:t>
      </w:r>
    </w:p>
    <w:p w14:paraId="632AB1F2" w14:textId="77F977A3" w:rsidR="007361FB" w:rsidRDefault="007361FB" w:rsidP="000F0542">
      <w:pPr>
        <w:pStyle w:val="BodyText32"/>
        <w:spacing w:after="200"/>
        <w:rPr>
          <w:rFonts w:ascii="Segoe UI" w:hAnsi="Segoe UI" w:cs="Segoe UI"/>
          <w:sz w:val="20"/>
          <w:u w:val="single"/>
        </w:rPr>
      </w:pPr>
    </w:p>
    <w:p w14:paraId="65BA3150" w14:textId="57F4DA53" w:rsidR="000F1755" w:rsidRPr="00382B47" w:rsidRDefault="000F1755" w:rsidP="000F0542">
      <w:pPr>
        <w:pStyle w:val="NormalWeb"/>
        <w:spacing w:before="0" w:beforeAutospacing="0" w:after="200" w:afterAutospacing="0"/>
        <w:jc w:val="both"/>
        <w:rPr>
          <w:rFonts w:ascii="Segoe UI" w:hAnsi="Segoe UI" w:cs="Segoe UI"/>
          <w:b/>
          <w:sz w:val="20"/>
          <w:szCs w:val="20"/>
          <w:u w:val="single"/>
        </w:rPr>
      </w:pPr>
      <w:r w:rsidRPr="00382B47">
        <w:rPr>
          <w:rFonts w:ascii="Segoe UI" w:hAnsi="Segoe UI" w:cs="Segoe UI"/>
          <w:b/>
          <w:sz w:val="20"/>
          <w:szCs w:val="20"/>
        </w:rPr>
        <w:t>CLÁUSULA QUARTA – OBJETO</w:t>
      </w:r>
    </w:p>
    <w:p w14:paraId="3302B43D" w14:textId="77777777" w:rsidR="000F1755" w:rsidRPr="00382B47" w:rsidRDefault="000F1755" w:rsidP="000F0542">
      <w:pPr>
        <w:spacing w:after="200" w:line="240" w:lineRule="auto"/>
        <w:jc w:val="both"/>
        <w:rPr>
          <w:rFonts w:ascii="Segoe UI" w:hAnsi="Segoe UI" w:cs="Segoe UI"/>
          <w:sz w:val="20"/>
          <w:szCs w:val="20"/>
        </w:rPr>
      </w:pPr>
      <w:r w:rsidRPr="00382B47">
        <w:rPr>
          <w:rFonts w:ascii="Segoe UI" w:hAnsi="Segoe UI" w:cs="Segoe UI"/>
          <w:sz w:val="20"/>
          <w:szCs w:val="20"/>
        </w:rPr>
        <w:t>Este Acordo tem como objeto específico regular a participação dos empregados(as) nos resultados do BANRISUL, mediante o alinhamento entre o Banco e os empregados dos objetivos preestabelecidos individual e coletivamente, de forma a estimular a performance do trabalhador(a) e alavancar os resultados do Banco, possibilitando aos empregados(as) a participação nos resultados, tudo conforme estipulado neste instrumento.</w:t>
      </w:r>
    </w:p>
    <w:p w14:paraId="1FA83351" w14:textId="4647F36A" w:rsidR="000F1755" w:rsidRPr="00382B47" w:rsidRDefault="000F1755" w:rsidP="000F0542">
      <w:pPr>
        <w:spacing w:after="200" w:line="240" w:lineRule="auto"/>
        <w:ind w:right="-1"/>
        <w:jc w:val="both"/>
        <w:rPr>
          <w:rFonts w:ascii="Segoe UI" w:hAnsi="Segoe UI" w:cs="Segoe UI"/>
          <w:sz w:val="20"/>
          <w:szCs w:val="20"/>
        </w:rPr>
      </w:pPr>
      <w:r w:rsidRPr="00D84F3E">
        <w:rPr>
          <w:rFonts w:ascii="Segoe UI" w:hAnsi="Segoe UI" w:cs="Segoe UI"/>
          <w:bCs/>
          <w:sz w:val="20"/>
          <w:szCs w:val="20"/>
        </w:rPr>
        <w:t xml:space="preserve">Parágrafo </w:t>
      </w:r>
      <w:r w:rsidR="00116BB4">
        <w:rPr>
          <w:rFonts w:ascii="Segoe UI" w:hAnsi="Segoe UI" w:cs="Segoe UI"/>
          <w:bCs/>
          <w:color w:val="00B050"/>
          <w:sz w:val="20"/>
          <w:szCs w:val="20"/>
        </w:rPr>
        <w:t>único</w:t>
      </w:r>
      <w:r w:rsidR="00E92753" w:rsidRPr="00D84F3E">
        <w:rPr>
          <w:rFonts w:ascii="Segoe UI" w:hAnsi="Segoe UI" w:cs="Segoe UI"/>
          <w:bCs/>
          <w:sz w:val="20"/>
          <w:szCs w:val="20"/>
        </w:rPr>
        <w:t xml:space="preserve"> - </w:t>
      </w:r>
      <w:r w:rsidRPr="00D84F3E">
        <w:rPr>
          <w:rFonts w:ascii="Segoe UI" w:hAnsi="Segoe UI" w:cs="Segoe UI"/>
          <w:sz w:val="20"/>
          <w:szCs w:val="20"/>
        </w:rPr>
        <w:t xml:space="preserve">Por meio deste </w:t>
      </w:r>
      <w:r w:rsidRPr="00D84F3E">
        <w:rPr>
          <w:rFonts w:ascii="Segoe UI" w:hAnsi="Segoe UI" w:cs="Segoe UI"/>
          <w:bCs/>
          <w:sz w:val="20"/>
          <w:szCs w:val="20"/>
        </w:rPr>
        <w:t>Acordo</w:t>
      </w:r>
      <w:r w:rsidRPr="00D84F3E">
        <w:rPr>
          <w:rFonts w:ascii="Segoe UI" w:hAnsi="Segoe UI" w:cs="Segoe UI"/>
          <w:b/>
          <w:sz w:val="20"/>
          <w:szCs w:val="20"/>
        </w:rPr>
        <w:t xml:space="preserve"> </w:t>
      </w:r>
      <w:r w:rsidRPr="00D84F3E">
        <w:rPr>
          <w:rFonts w:ascii="Segoe UI" w:hAnsi="Segoe UI" w:cs="Segoe UI"/>
          <w:sz w:val="20"/>
          <w:szCs w:val="20"/>
        </w:rPr>
        <w:t>ficam garantidos para todos os empregados(as), além da participação aqui prevista, o cumprimento das regras relativas à PLR estabelecidas na Convenção Coletiva de Trabalho da Categoria dos Bancários e dos Financiários 202</w:t>
      </w:r>
      <w:r w:rsidR="00412019" w:rsidRPr="00D84F3E">
        <w:rPr>
          <w:rFonts w:ascii="Segoe UI" w:hAnsi="Segoe UI" w:cs="Segoe UI"/>
          <w:sz w:val="20"/>
          <w:szCs w:val="20"/>
        </w:rPr>
        <w:t>4</w:t>
      </w:r>
      <w:r w:rsidRPr="00D84F3E">
        <w:rPr>
          <w:rFonts w:ascii="Segoe UI" w:hAnsi="Segoe UI" w:cs="Segoe UI"/>
          <w:sz w:val="20"/>
          <w:szCs w:val="20"/>
        </w:rPr>
        <w:t>/</w:t>
      </w:r>
      <w:r w:rsidR="00311A5C" w:rsidRPr="00D84F3E">
        <w:rPr>
          <w:rFonts w:ascii="Segoe UI" w:hAnsi="Segoe UI" w:cs="Segoe UI"/>
          <w:sz w:val="20"/>
          <w:szCs w:val="20"/>
        </w:rPr>
        <w:t>202</w:t>
      </w:r>
      <w:r w:rsidR="00412019" w:rsidRPr="00D84F3E">
        <w:rPr>
          <w:rFonts w:ascii="Segoe UI" w:hAnsi="Segoe UI" w:cs="Segoe UI"/>
          <w:sz w:val="20"/>
          <w:szCs w:val="20"/>
        </w:rPr>
        <w:t>6</w:t>
      </w:r>
      <w:r w:rsidRPr="00D84F3E">
        <w:rPr>
          <w:rFonts w:ascii="Segoe UI" w:hAnsi="Segoe UI" w:cs="Segoe UI"/>
          <w:sz w:val="20"/>
          <w:szCs w:val="20"/>
        </w:rPr>
        <w:t>, assim como no Acordo Coletivo de Trabalho do BANRISUL</w:t>
      </w:r>
      <w:r w:rsidR="00E937A5" w:rsidRPr="00D84F3E">
        <w:rPr>
          <w:rFonts w:ascii="Segoe UI" w:hAnsi="Segoe UI" w:cs="Segoe UI"/>
          <w:sz w:val="20"/>
          <w:szCs w:val="20"/>
        </w:rPr>
        <w:t xml:space="preserve"> 2024/2026</w:t>
      </w:r>
      <w:r w:rsidRPr="00D84F3E">
        <w:rPr>
          <w:rFonts w:ascii="Segoe UI" w:hAnsi="Segoe UI" w:cs="Segoe UI"/>
          <w:sz w:val="20"/>
          <w:szCs w:val="20"/>
        </w:rPr>
        <w:t>, não havendo qualquer compensação entre os pagamentos feitos segundo as regras destes 3 (três) instrumentos, sendo os valores registrados em rubricas separadas no holerite.</w:t>
      </w:r>
    </w:p>
    <w:p w14:paraId="46865406" w14:textId="4097BCB2" w:rsidR="00412019" w:rsidRDefault="00412019" w:rsidP="000F0542">
      <w:pPr>
        <w:pStyle w:val="NormalWeb"/>
        <w:spacing w:before="0" w:beforeAutospacing="0" w:after="200" w:afterAutospacing="0"/>
        <w:jc w:val="both"/>
        <w:rPr>
          <w:rFonts w:ascii="Segoe UI" w:hAnsi="Segoe UI" w:cs="Segoe UI"/>
          <w:b/>
          <w:sz w:val="20"/>
          <w:szCs w:val="20"/>
        </w:rPr>
      </w:pPr>
    </w:p>
    <w:p w14:paraId="182ED641" w14:textId="77777777" w:rsidR="00D856EA" w:rsidRDefault="00D856EA" w:rsidP="000F0542">
      <w:pPr>
        <w:pStyle w:val="NormalWeb"/>
        <w:spacing w:before="0" w:beforeAutospacing="0" w:after="200" w:afterAutospacing="0"/>
        <w:jc w:val="both"/>
        <w:rPr>
          <w:rFonts w:ascii="Segoe UI" w:hAnsi="Segoe UI" w:cs="Segoe UI"/>
          <w:b/>
          <w:sz w:val="20"/>
          <w:szCs w:val="20"/>
        </w:rPr>
      </w:pPr>
    </w:p>
    <w:p w14:paraId="706970A0" w14:textId="63B9314D" w:rsidR="000F1755" w:rsidRPr="00382B47" w:rsidRDefault="000F1755" w:rsidP="000F0542">
      <w:pPr>
        <w:pStyle w:val="NormalWeb"/>
        <w:spacing w:before="0" w:beforeAutospacing="0" w:after="200" w:afterAutospacing="0"/>
        <w:jc w:val="both"/>
        <w:rPr>
          <w:rFonts w:ascii="Segoe UI" w:hAnsi="Segoe UI" w:cs="Segoe UI"/>
          <w:b/>
          <w:sz w:val="20"/>
          <w:szCs w:val="20"/>
          <w:u w:val="single"/>
        </w:rPr>
      </w:pPr>
      <w:r w:rsidRPr="00382B47">
        <w:rPr>
          <w:rFonts w:ascii="Segoe UI" w:hAnsi="Segoe UI" w:cs="Segoe UI"/>
          <w:b/>
          <w:sz w:val="20"/>
          <w:szCs w:val="20"/>
        </w:rPr>
        <w:t>CLÁ</w:t>
      </w:r>
      <w:r w:rsidR="00412019">
        <w:rPr>
          <w:rFonts w:ascii="Segoe UI" w:hAnsi="Segoe UI" w:cs="Segoe UI"/>
          <w:b/>
          <w:sz w:val="20"/>
          <w:szCs w:val="20"/>
        </w:rPr>
        <w:t>USU</w:t>
      </w:r>
      <w:r w:rsidRPr="00382B47">
        <w:rPr>
          <w:rFonts w:ascii="Segoe UI" w:hAnsi="Segoe UI" w:cs="Segoe UI"/>
          <w:b/>
          <w:sz w:val="20"/>
          <w:szCs w:val="20"/>
        </w:rPr>
        <w:t>LA QUINTA – DA OPÇÃO</w:t>
      </w:r>
    </w:p>
    <w:p w14:paraId="1812A41C" w14:textId="77777777" w:rsidR="000F1755" w:rsidRPr="00382B47" w:rsidRDefault="000F1755" w:rsidP="000F0542">
      <w:pPr>
        <w:spacing w:after="200" w:line="240" w:lineRule="auto"/>
        <w:jc w:val="both"/>
        <w:rPr>
          <w:rFonts w:ascii="Segoe UI" w:hAnsi="Segoe UI" w:cs="Segoe UI"/>
          <w:sz w:val="20"/>
          <w:szCs w:val="20"/>
        </w:rPr>
      </w:pPr>
      <w:r w:rsidRPr="00382B47">
        <w:rPr>
          <w:rFonts w:ascii="Segoe UI" w:hAnsi="Segoe UI" w:cs="Segoe UI"/>
          <w:sz w:val="20"/>
          <w:szCs w:val="20"/>
        </w:rPr>
        <w:t xml:space="preserve">Optam as partes pela participação dos </w:t>
      </w:r>
      <w:r w:rsidRPr="0074488D">
        <w:rPr>
          <w:rFonts w:ascii="Segoe UI" w:hAnsi="Segoe UI" w:cs="Segoe UI"/>
          <w:sz w:val="20"/>
          <w:szCs w:val="20"/>
        </w:rPr>
        <w:t>empregados(as) nos resultados</w:t>
      </w:r>
      <w:r w:rsidRPr="00382B47">
        <w:rPr>
          <w:rFonts w:ascii="Segoe UI" w:hAnsi="Segoe UI" w:cs="Segoe UI"/>
          <w:sz w:val="20"/>
          <w:szCs w:val="20"/>
        </w:rPr>
        <w:t xml:space="preserve"> do BANRISUL, desde que atingido o fator condicionante (gatilho).</w:t>
      </w:r>
    </w:p>
    <w:p w14:paraId="1E2E94ED" w14:textId="77777777" w:rsidR="000F1755" w:rsidRPr="00382B47" w:rsidRDefault="000F1755" w:rsidP="000F0542">
      <w:pPr>
        <w:spacing w:after="200" w:line="240" w:lineRule="auto"/>
        <w:jc w:val="both"/>
        <w:rPr>
          <w:rFonts w:ascii="Segoe UI" w:hAnsi="Segoe UI" w:cs="Segoe UI"/>
          <w:sz w:val="20"/>
          <w:szCs w:val="20"/>
        </w:rPr>
      </w:pPr>
    </w:p>
    <w:p w14:paraId="7C13F7E6" w14:textId="061FA7C9" w:rsidR="000F1755" w:rsidRDefault="000F1755" w:rsidP="000F0542">
      <w:pPr>
        <w:pStyle w:val="NormalWeb"/>
        <w:spacing w:before="0" w:beforeAutospacing="0" w:after="200" w:afterAutospacing="0"/>
        <w:jc w:val="both"/>
        <w:rPr>
          <w:rFonts w:ascii="Segoe UI" w:hAnsi="Segoe UI" w:cs="Segoe UI"/>
          <w:b/>
          <w:sz w:val="20"/>
          <w:szCs w:val="20"/>
        </w:rPr>
      </w:pPr>
      <w:bookmarkStart w:id="0" w:name="_Hlk181624123"/>
      <w:r w:rsidRPr="00382B47">
        <w:rPr>
          <w:rFonts w:ascii="Segoe UI" w:hAnsi="Segoe UI" w:cs="Segoe UI"/>
          <w:b/>
          <w:sz w:val="20"/>
          <w:szCs w:val="20"/>
        </w:rPr>
        <w:t>CLÁUSULA SEXTA – DO FATOR CONDICIONANTE/GATILHO</w:t>
      </w:r>
    </w:p>
    <w:p w14:paraId="390A42AC" w14:textId="152EF90A" w:rsidR="009D6D92" w:rsidRPr="00CB14F4" w:rsidRDefault="00CD76ED" w:rsidP="009D6D92">
      <w:pPr>
        <w:pStyle w:val="NormalWeb"/>
        <w:spacing w:before="0" w:beforeAutospacing="0" w:after="200" w:afterAutospacing="0"/>
        <w:jc w:val="both"/>
        <w:rPr>
          <w:rFonts w:ascii="Segoe UI" w:hAnsi="Segoe UI" w:cs="Segoe UI"/>
          <w:sz w:val="20"/>
        </w:rPr>
      </w:pPr>
      <w:r w:rsidRPr="00130DAB">
        <w:rPr>
          <w:rFonts w:ascii="Segoe UI" w:hAnsi="Segoe UI" w:cs="Segoe UI"/>
          <w:sz w:val="20"/>
          <w:szCs w:val="20"/>
        </w:rPr>
        <w:t xml:space="preserve">O fator condicionante/gatilho, condição básica que assegurará ou não a distribuição da participação prevista neste Acordo, </w:t>
      </w:r>
      <w:r w:rsidR="000F1755" w:rsidRPr="00130DAB">
        <w:rPr>
          <w:rFonts w:ascii="Segoe UI" w:hAnsi="Segoe UI" w:cs="Segoe UI"/>
          <w:sz w:val="20"/>
        </w:rPr>
        <w:t>é o Lucro Líquido Recorrente</w:t>
      </w:r>
      <w:r w:rsidR="009D6D92" w:rsidRPr="009F5FE7">
        <w:rPr>
          <w:rFonts w:ascii="Segoe UI" w:hAnsi="Segoe UI" w:cs="Segoe UI"/>
          <w:sz w:val="20"/>
        </w:rPr>
        <w:t xml:space="preserve">, </w:t>
      </w:r>
      <w:r w:rsidR="001F1BAC" w:rsidRPr="00130DAB">
        <w:rPr>
          <w:rFonts w:ascii="Segoe UI" w:hAnsi="Segoe UI" w:cs="Segoe UI"/>
          <w:sz w:val="20"/>
        </w:rPr>
        <w:t>sendo que o</w:t>
      </w:r>
      <w:r w:rsidR="000241F3" w:rsidRPr="00130DAB">
        <w:rPr>
          <w:rFonts w:ascii="Segoe UI" w:hAnsi="Segoe UI" w:cs="Segoe UI"/>
          <w:sz w:val="20"/>
        </w:rPr>
        <w:t xml:space="preserve"> montante </w:t>
      </w:r>
      <w:r w:rsidR="006A6F4D" w:rsidRPr="00E50DC1">
        <w:rPr>
          <w:rFonts w:ascii="Segoe UI" w:hAnsi="Segoe UI" w:cs="Segoe UI"/>
          <w:color w:val="2F5496" w:themeColor="accent1" w:themeShade="BF"/>
          <w:sz w:val="20"/>
        </w:rPr>
        <w:t xml:space="preserve">limite </w:t>
      </w:r>
      <w:r w:rsidR="000241F3" w:rsidRPr="00E50DC1">
        <w:rPr>
          <w:rFonts w:ascii="Segoe UI" w:hAnsi="Segoe UI" w:cs="Segoe UI"/>
          <w:color w:val="2F5496" w:themeColor="accent1" w:themeShade="BF"/>
          <w:sz w:val="20"/>
        </w:rPr>
        <w:t>a ser distribuído no Programa corresponderá a faixa de lucratividade atingida pelo Banrisul</w:t>
      </w:r>
      <w:r w:rsidR="0076182B" w:rsidRPr="00E50DC1">
        <w:rPr>
          <w:rFonts w:ascii="Segoe UI" w:hAnsi="Segoe UI" w:cs="Segoe UI"/>
          <w:color w:val="2F5496" w:themeColor="accent1" w:themeShade="BF"/>
          <w:sz w:val="20"/>
        </w:rPr>
        <w:t xml:space="preserve"> em cada ano do Programa</w:t>
      </w:r>
      <w:r w:rsidR="000241F3" w:rsidRPr="00E50DC1">
        <w:rPr>
          <w:rFonts w:ascii="Segoe UI" w:hAnsi="Segoe UI" w:cs="Segoe UI"/>
          <w:color w:val="2F5496" w:themeColor="accent1" w:themeShade="BF"/>
          <w:sz w:val="20"/>
        </w:rPr>
        <w:t xml:space="preserve">, </w:t>
      </w:r>
      <w:r w:rsidR="001F1BAC" w:rsidRPr="00E50DC1">
        <w:rPr>
          <w:rFonts w:ascii="Segoe UI" w:hAnsi="Segoe UI" w:cs="Segoe UI"/>
          <w:color w:val="2F5496" w:themeColor="accent1" w:themeShade="BF"/>
          <w:sz w:val="20"/>
        </w:rPr>
        <w:t xml:space="preserve">conforme </w:t>
      </w:r>
      <w:r w:rsidR="000241F3" w:rsidRPr="00E50DC1">
        <w:rPr>
          <w:rFonts w:ascii="Segoe UI" w:hAnsi="Segoe UI" w:cs="Segoe UI"/>
          <w:color w:val="2F5496" w:themeColor="accent1" w:themeShade="BF"/>
          <w:sz w:val="20"/>
        </w:rPr>
        <w:t>tabela</w:t>
      </w:r>
      <w:r w:rsidR="001F1BAC" w:rsidRPr="00E50DC1">
        <w:rPr>
          <w:rFonts w:ascii="Segoe UI" w:hAnsi="Segoe UI" w:cs="Segoe UI"/>
          <w:color w:val="2F5496" w:themeColor="accent1" w:themeShade="BF"/>
          <w:sz w:val="20"/>
        </w:rPr>
        <w:t xml:space="preserve"> </w:t>
      </w:r>
      <w:r w:rsidR="008D5449" w:rsidRPr="00E50DC1">
        <w:rPr>
          <w:rFonts w:ascii="Segoe UI" w:hAnsi="Segoe UI" w:cs="Segoe UI"/>
          <w:color w:val="2F5496" w:themeColor="accent1" w:themeShade="BF"/>
          <w:sz w:val="20"/>
        </w:rPr>
        <w:t>a seguir</w:t>
      </w:r>
      <w:bookmarkEnd w:id="0"/>
      <w:r w:rsidR="008D5449" w:rsidRPr="00E50DC1">
        <w:rPr>
          <w:rFonts w:ascii="Segoe UI" w:hAnsi="Segoe UI" w:cs="Segoe UI"/>
          <w:color w:val="2F5496" w:themeColor="accent1" w:themeShade="BF"/>
          <w:sz w:val="20"/>
        </w:rPr>
        <w:t xml:space="preserve">: </w:t>
      </w:r>
    </w:p>
    <w:tbl>
      <w:tblPr>
        <w:tblW w:w="7475" w:type="dxa"/>
        <w:jc w:val="center"/>
        <w:tblCellMar>
          <w:left w:w="70" w:type="dxa"/>
          <w:right w:w="70" w:type="dxa"/>
        </w:tblCellMar>
        <w:tblLook w:val="04A0" w:firstRow="1" w:lastRow="0" w:firstColumn="1" w:lastColumn="0" w:noHBand="0" w:noVBand="1"/>
      </w:tblPr>
      <w:tblGrid>
        <w:gridCol w:w="776"/>
        <w:gridCol w:w="3135"/>
        <w:gridCol w:w="3564"/>
      </w:tblGrid>
      <w:tr w:rsidR="002C0830" w:rsidRPr="002C0830" w14:paraId="61E37608" w14:textId="77777777" w:rsidTr="002C0830">
        <w:trPr>
          <w:trHeight w:val="304"/>
          <w:jc w:val="center"/>
        </w:trPr>
        <w:tc>
          <w:tcPr>
            <w:tcW w:w="776" w:type="dxa"/>
            <w:tcBorders>
              <w:top w:val="nil"/>
              <w:left w:val="nil"/>
              <w:bottom w:val="nil"/>
              <w:right w:val="nil"/>
            </w:tcBorders>
            <w:shd w:val="clear" w:color="000000" w:fill="2E74B5"/>
            <w:noWrap/>
            <w:vAlign w:val="center"/>
            <w:hideMark/>
          </w:tcPr>
          <w:p w14:paraId="58D1129E" w14:textId="77777777" w:rsidR="002C0830" w:rsidRPr="002C0830" w:rsidRDefault="002C0830" w:rsidP="002C0830">
            <w:pPr>
              <w:spacing w:after="0" w:line="240" w:lineRule="auto"/>
              <w:jc w:val="center"/>
              <w:rPr>
                <w:rFonts w:ascii="Calibri" w:eastAsia="Times New Roman" w:hAnsi="Calibri" w:cs="Calibri"/>
                <w:b/>
                <w:bCs/>
                <w:color w:val="E7E6E6"/>
                <w:lang w:eastAsia="pt-BR"/>
              </w:rPr>
            </w:pPr>
            <w:r w:rsidRPr="002C0830">
              <w:rPr>
                <w:rFonts w:ascii="Calibri" w:eastAsia="Times New Roman" w:hAnsi="Calibri" w:cs="Calibri"/>
                <w:b/>
                <w:bCs/>
                <w:color w:val="E7E6E6"/>
                <w:lang w:eastAsia="pt-BR"/>
              </w:rPr>
              <w:t>Faixa</w:t>
            </w:r>
          </w:p>
        </w:tc>
        <w:tc>
          <w:tcPr>
            <w:tcW w:w="3135" w:type="dxa"/>
            <w:tcBorders>
              <w:top w:val="nil"/>
              <w:left w:val="nil"/>
              <w:bottom w:val="nil"/>
              <w:right w:val="nil"/>
            </w:tcBorders>
            <w:shd w:val="clear" w:color="000000" w:fill="2E74B5"/>
            <w:noWrap/>
            <w:vAlign w:val="center"/>
            <w:hideMark/>
          </w:tcPr>
          <w:p w14:paraId="67C4131C" w14:textId="77777777" w:rsidR="002C0830" w:rsidRPr="002C0830" w:rsidRDefault="002C0830" w:rsidP="002C0830">
            <w:pPr>
              <w:spacing w:after="0" w:line="240" w:lineRule="auto"/>
              <w:jc w:val="center"/>
              <w:rPr>
                <w:rFonts w:ascii="Calibri" w:eastAsia="Times New Roman" w:hAnsi="Calibri" w:cs="Calibri"/>
                <w:b/>
                <w:bCs/>
                <w:color w:val="E7E6E6"/>
                <w:lang w:eastAsia="pt-BR"/>
              </w:rPr>
            </w:pPr>
            <w:r w:rsidRPr="002C0830">
              <w:rPr>
                <w:rFonts w:ascii="Calibri" w:eastAsia="Times New Roman" w:hAnsi="Calibri" w:cs="Calibri"/>
                <w:b/>
                <w:bCs/>
                <w:color w:val="E7E6E6"/>
                <w:lang w:eastAsia="pt-BR"/>
              </w:rPr>
              <w:t>Resultado LL (R$ Milhões)</w:t>
            </w:r>
          </w:p>
        </w:tc>
        <w:tc>
          <w:tcPr>
            <w:tcW w:w="3564" w:type="dxa"/>
            <w:tcBorders>
              <w:top w:val="nil"/>
              <w:left w:val="nil"/>
              <w:bottom w:val="nil"/>
              <w:right w:val="nil"/>
            </w:tcBorders>
            <w:shd w:val="clear" w:color="000000" w:fill="2E74B5"/>
            <w:noWrap/>
            <w:vAlign w:val="center"/>
            <w:hideMark/>
          </w:tcPr>
          <w:p w14:paraId="681DFF99" w14:textId="77777777" w:rsidR="002C0830" w:rsidRPr="002C0830" w:rsidRDefault="002C0830" w:rsidP="002C0830">
            <w:pPr>
              <w:spacing w:after="0" w:line="240" w:lineRule="auto"/>
              <w:jc w:val="center"/>
              <w:rPr>
                <w:rFonts w:ascii="Calibri" w:eastAsia="Times New Roman" w:hAnsi="Calibri" w:cs="Calibri"/>
                <w:b/>
                <w:bCs/>
                <w:color w:val="E7E6E6"/>
                <w:lang w:eastAsia="pt-BR"/>
              </w:rPr>
            </w:pPr>
            <w:r w:rsidRPr="002C0830">
              <w:rPr>
                <w:rFonts w:ascii="Calibri" w:eastAsia="Times New Roman" w:hAnsi="Calibri" w:cs="Calibri"/>
                <w:b/>
                <w:bCs/>
                <w:color w:val="E7E6E6"/>
                <w:lang w:eastAsia="pt-BR"/>
              </w:rPr>
              <w:t>Montante PPR</w:t>
            </w:r>
          </w:p>
        </w:tc>
      </w:tr>
      <w:tr w:rsidR="002C0830" w:rsidRPr="002C0830" w14:paraId="31B20B11" w14:textId="77777777" w:rsidTr="002C0830">
        <w:trPr>
          <w:trHeight w:val="304"/>
          <w:jc w:val="center"/>
        </w:trPr>
        <w:tc>
          <w:tcPr>
            <w:tcW w:w="776" w:type="dxa"/>
            <w:tcBorders>
              <w:top w:val="nil"/>
              <w:left w:val="nil"/>
              <w:bottom w:val="nil"/>
              <w:right w:val="nil"/>
            </w:tcBorders>
            <w:shd w:val="clear" w:color="000000" w:fill="F2F2F2"/>
            <w:noWrap/>
            <w:vAlign w:val="center"/>
            <w:hideMark/>
          </w:tcPr>
          <w:p w14:paraId="6E340EDC"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1</w:t>
            </w:r>
          </w:p>
        </w:tc>
        <w:tc>
          <w:tcPr>
            <w:tcW w:w="3135" w:type="dxa"/>
            <w:tcBorders>
              <w:top w:val="nil"/>
              <w:left w:val="nil"/>
              <w:bottom w:val="nil"/>
              <w:right w:val="nil"/>
            </w:tcBorders>
            <w:shd w:val="clear" w:color="000000" w:fill="F2F2F2"/>
            <w:noWrap/>
            <w:vAlign w:val="center"/>
            <w:hideMark/>
          </w:tcPr>
          <w:p w14:paraId="5E2AF4B9"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&lt;600</w:t>
            </w:r>
          </w:p>
        </w:tc>
        <w:tc>
          <w:tcPr>
            <w:tcW w:w="3564" w:type="dxa"/>
            <w:tcBorders>
              <w:top w:val="nil"/>
              <w:left w:val="nil"/>
              <w:bottom w:val="nil"/>
              <w:right w:val="nil"/>
            </w:tcBorders>
            <w:shd w:val="clear" w:color="000000" w:fill="F2F2F2"/>
            <w:noWrap/>
            <w:vAlign w:val="center"/>
            <w:hideMark/>
          </w:tcPr>
          <w:p w14:paraId="30FB3F24"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Pagamento Linear R$ 1.200,00</w:t>
            </w:r>
          </w:p>
        </w:tc>
      </w:tr>
      <w:tr w:rsidR="002C0830" w:rsidRPr="002C0830" w14:paraId="33A6F503" w14:textId="77777777" w:rsidTr="002C0830">
        <w:trPr>
          <w:trHeight w:val="304"/>
          <w:jc w:val="center"/>
        </w:trPr>
        <w:tc>
          <w:tcPr>
            <w:tcW w:w="776" w:type="dxa"/>
            <w:tcBorders>
              <w:top w:val="nil"/>
              <w:left w:val="nil"/>
              <w:bottom w:val="nil"/>
              <w:right w:val="nil"/>
            </w:tcBorders>
            <w:shd w:val="clear" w:color="000000" w:fill="FFFFFF"/>
            <w:noWrap/>
            <w:vAlign w:val="center"/>
            <w:hideMark/>
          </w:tcPr>
          <w:p w14:paraId="165F4D7D"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2</w:t>
            </w:r>
          </w:p>
        </w:tc>
        <w:tc>
          <w:tcPr>
            <w:tcW w:w="3135" w:type="dxa"/>
            <w:tcBorders>
              <w:top w:val="nil"/>
              <w:left w:val="nil"/>
              <w:bottom w:val="nil"/>
              <w:right w:val="nil"/>
            </w:tcBorders>
            <w:shd w:val="clear" w:color="000000" w:fill="FFFFFF"/>
            <w:noWrap/>
            <w:vAlign w:val="center"/>
            <w:hideMark/>
          </w:tcPr>
          <w:p w14:paraId="612C84BB"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de 600,01 a 700</w:t>
            </w:r>
          </w:p>
        </w:tc>
        <w:tc>
          <w:tcPr>
            <w:tcW w:w="3564" w:type="dxa"/>
            <w:tcBorders>
              <w:top w:val="nil"/>
              <w:left w:val="nil"/>
              <w:bottom w:val="nil"/>
              <w:right w:val="nil"/>
            </w:tcBorders>
            <w:shd w:val="clear" w:color="000000" w:fill="FFFFFF"/>
            <w:noWrap/>
            <w:vAlign w:val="center"/>
            <w:hideMark/>
          </w:tcPr>
          <w:p w14:paraId="03ECEF5A"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Pagamento Linear R$ 2.000,00</w:t>
            </w:r>
          </w:p>
        </w:tc>
      </w:tr>
      <w:tr w:rsidR="002C0830" w:rsidRPr="002C0830" w14:paraId="34B598E2" w14:textId="77777777" w:rsidTr="002C0830">
        <w:trPr>
          <w:trHeight w:val="304"/>
          <w:jc w:val="center"/>
        </w:trPr>
        <w:tc>
          <w:tcPr>
            <w:tcW w:w="776" w:type="dxa"/>
            <w:tcBorders>
              <w:top w:val="nil"/>
              <w:left w:val="nil"/>
              <w:bottom w:val="nil"/>
              <w:right w:val="nil"/>
            </w:tcBorders>
            <w:shd w:val="clear" w:color="000000" w:fill="F2F2F2"/>
            <w:noWrap/>
            <w:vAlign w:val="center"/>
            <w:hideMark/>
          </w:tcPr>
          <w:p w14:paraId="2712391A"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3</w:t>
            </w:r>
          </w:p>
        </w:tc>
        <w:tc>
          <w:tcPr>
            <w:tcW w:w="3135" w:type="dxa"/>
            <w:tcBorders>
              <w:top w:val="nil"/>
              <w:left w:val="nil"/>
              <w:bottom w:val="nil"/>
              <w:right w:val="nil"/>
            </w:tcBorders>
            <w:shd w:val="clear" w:color="000000" w:fill="F2F2F2"/>
            <w:noWrap/>
            <w:vAlign w:val="center"/>
            <w:hideMark/>
          </w:tcPr>
          <w:p w14:paraId="01255917"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de 700,01 a 800</w:t>
            </w:r>
          </w:p>
        </w:tc>
        <w:tc>
          <w:tcPr>
            <w:tcW w:w="3564" w:type="dxa"/>
            <w:tcBorders>
              <w:top w:val="nil"/>
              <w:left w:val="nil"/>
              <w:bottom w:val="nil"/>
              <w:right w:val="nil"/>
            </w:tcBorders>
            <w:shd w:val="clear" w:color="000000" w:fill="F2F2F2"/>
            <w:noWrap/>
            <w:vAlign w:val="center"/>
            <w:hideMark/>
          </w:tcPr>
          <w:p w14:paraId="10D77524"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R$ 65 milhões</w:t>
            </w:r>
          </w:p>
        </w:tc>
      </w:tr>
      <w:tr w:rsidR="002C0830" w:rsidRPr="002C0830" w14:paraId="00B7E280" w14:textId="77777777" w:rsidTr="002C0830">
        <w:trPr>
          <w:trHeight w:val="304"/>
          <w:jc w:val="center"/>
        </w:trPr>
        <w:tc>
          <w:tcPr>
            <w:tcW w:w="776" w:type="dxa"/>
            <w:tcBorders>
              <w:top w:val="nil"/>
              <w:left w:val="nil"/>
              <w:bottom w:val="nil"/>
              <w:right w:val="nil"/>
            </w:tcBorders>
            <w:shd w:val="clear" w:color="000000" w:fill="FFFFFF"/>
            <w:noWrap/>
            <w:vAlign w:val="center"/>
            <w:hideMark/>
          </w:tcPr>
          <w:p w14:paraId="35B6DAED"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4</w:t>
            </w:r>
          </w:p>
        </w:tc>
        <w:tc>
          <w:tcPr>
            <w:tcW w:w="3135" w:type="dxa"/>
            <w:tcBorders>
              <w:top w:val="nil"/>
              <w:left w:val="nil"/>
              <w:bottom w:val="nil"/>
              <w:right w:val="nil"/>
            </w:tcBorders>
            <w:shd w:val="clear" w:color="000000" w:fill="FFFFFF"/>
            <w:noWrap/>
            <w:vAlign w:val="center"/>
            <w:hideMark/>
          </w:tcPr>
          <w:p w14:paraId="42F97680"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de 800,01 a 850</w:t>
            </w:r>
          </w:p>
        </w:tc>
        <w:tc>
          <w:tcPr>
            <w:tcW w:w="3564" w:type="dxa"/>
            <w:tcBorders>
              <w:top w:val="nil"/>
              <w:left w:val="nil"/>
              <w:bottom w:val="nil"/>
              <w:right w:val="nil"/>
            </w:tcBorders>
            <w:shd w:val="clear" w:color="000000" w:fill="FFFFFF"/>
            <w:noWrap/>
            <w:vAlign w:val="center"/>
            <w:hideMark/>
          </w:tcPr>
          <w:p w14:paraId="7743D7BA"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R$ 75 milhões</w:t>
            </w:r>
          </w:p>
        </w:tc>
      </w:tr>
      <w:tr w:rsidR="002C0830" w:rsidRPr="002C0830" w14:paraId="29A2AD25" w14:textId="77777777" w:rsidTr="002C0830">
        <w:trPr>
          <w:trHeight w:val="304"/>
          <w:jc w:val="center"/>
        </w:trPr>
        <w:tc>
          <w:tcPr>
            <w:tcW w:w="776" w:type="dxa"/>
            <w:tcBorders>
              <w:top w:val="nil"/>
              <w:left w:val="nil"/>
              <w:bottom w:val="nil"/>
              <w:right w:val="nil"/>
            </w:tcBorders>
            <w:shd w:val="clear" w:color="000000" w:fill="F2F2F2"/>
            <w:noWrap/>
            <w:vAlign w:val="center"/>
            <w:hideMark/>
          </w:tcPr>
          <w:p w14:paraId="2978F994"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5</w:t>
            </w:r>
          </w:p>
        </w:tc>
        <w:tc>
          <w:tcPr>
            <w:tcW w:w="3135" w:type="dxa"/>
            <w:tcBorders>
              <w:top w:val="nil"/>
              <w:left w:val="nil"/>
              <w:bottom w:val="nil"/>
              <w:right w:val="nil"/>
            </w:tcBorders>
            <w:shd w:val="clear" w:color="000000" w:fill="F2F2F2"/>
            <w:noWrap/>
            <w:vAlign w:val="center"/>
            <w:hideMark/>
          </w:tcPr>
          <w:p w14:paraId="210B7BA2"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de 850,01 a 900</w:t>
            </w:r>
          </w:p>
        </w:tc>
        <w:tc>
          <w:tcPr>
            <w:tcW w:w="3564" w:type="dxa"/>
            <w:tcBorders>
              <w:top w:val="nil"/>
              <w:left w:val="nil"/>
              <w:bottom w:val="nil"/>
              <w:right w:val="nil"/>
            </w:tcBorders>
            <w:shd w:val="clear" w:color="000000" w:fill="F2F2F2"/>
            <w:noWrap/>
            <w:vAlign w:val="center"/>
            <w:hideMark/>
          </w:tcPr>
          <w:p w14:paraId="5092C52A"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R$ 85 milhões</w:t>
            </w:r>
          </w:p>
        </w:tc>
      </w:tr>
      <w:tr w:rsidR="002C0830" w:rsidRPr="002C0830" w14:paraId="63545769" w14:textId="77777777" w:rsidTr="002C0830">
        <w:trPr>
          <w:trHeight w:val="304"/>
          <w:jc w:val="center"/>
        </w:trPr>
        <w:tc>
          <w:tcPr>
            <w:tcW w:w="776" w:type="dxa"/>
            <w:tcBorders>
              <w:top w:val="nil"/>
              <w:left w:val="nil"/>
              <w:bottom w:val="nil"/>
              <w:right w:val="nil"/>
            </w:tcBorders>
            <w:shd w:val="clear" w:color="000000" w:fill="FFFFFF"/>
            <w:noWrap/>
            <w:vAlign w:val="center"/>
            <w:hideMark/>
          </w:tcPr>
          <w:p w14:paraId="60D92E2B"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6</w:t>
            </w:r>
          </w:p>
        </w:tc>
        <w:tc>
          <w:tcPr>
            <w:tcW w:w="3135" w:type="dxa"/>
            <w:tcBorders>
              <w:top w:val="nil"/>
              <w:left w:val="nil"/>
              <w:bottom w:val="nil"/>
              <w:right w:val="nil"/>
            </w:tcBorders>
            <w:shd w:val="clear" w:color="000000" w:fill="FFFFFF"/>
            <w:noWrap/>
            <w:vAlign w:val="center"/>
            <w:hideMark/>
          </w:tcPr>
          <w:p w14:paraId="06CD1DA3"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de 901,01 a 950</w:t>
            </w:r>
          </w:p>
        </w:tc>
        <w:tc>
          <w:tcPr>
            <w:tcW w:w="3564" w:type="dxa"/>
            <w:tcBorders>
              <w:top w:val="nil"/>
              <w:left w:val="nil"/>
              <w:bottom w:val="nil"/>
              <w:right w:val="nil"/>
            </w:tcBorders>
            <w:shd w:val="clear" w:color="000000" w:fill="FFFFFF"/>
            <w:noWrap/>
            <w:vAlign w:val="center"/>
            <w:hideMark/>
          </w:tcPr>
          <w:p w14:paraId="05F6ACEB"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R$ 90 milhões</w:t>
            </w:r>
          </w:p>
        </w:tc>
      </w:tr>
      <w:tr w:rsidR="002C0830" w:rsidRPr="002C0830" w14:paraId="77D046D7" w14:textId="77777777" w:rsidTr="002C0830">
        <w:trPr>
          <w:trHeight w:val="304"/>
          <w:jc w:val="center"/>
        </w:trPr>
        <w:tc>
          <w:tcPr>
            <w:tcW w:w="776" w:type="dxa"/>
            <w:tcBorders>
              <w:top w:val="nil"/>
              <w:left w:val="nil"/>
              <w:bottom w:val="nil"/>
              <w:right w:val="nil"/>
            </w:tcBorders>
            <w:shd w:val="clear" w:color="000000" w:fill="F2F2F2"/>
            <w:noWrap/>
            <w:vAlign w:val="center"/>
            <w:hideMark/>
          </w:tcPr>
          <w:p w14:paraId="35AA3F25"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7</w:t>
            </w:r>
          </w:p>
        </w:tc>
        <w:tc>
          <w:tcPr>
            <w:tcW w:w="3135" w:type="dxa"/>
            <w:tcBorders>
              <w:top w:val="nil"/>
              <w:left w:val="nil"/>
              <w:bottom w:val="nil"/>
              <w:right w:val="nil"/>
            </w:tcBorders>
            <w:shd w:val="clear" w:color="000000" w:fill="F2F2F2"/>
            <w:noWrap/>
            <w:vAlign w:val="center"/>
            <w:hideMark/>
          </w:tcPr>
          <w:p w14:paraId="5F454CC6"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de 950,001 a 1.000</w:t>
            </w:r>
          </w:p>
        </w:tc>
        <w:tc>
          <w:tcPr>
            <w:tcW w:w="3564" w:type="dxa"/>
            <w:tcBorders>
              <w:top w:val="nil"/>
              <w:left w:val="nil"/>
              <w:bottom w:val="nil"/>
              <w:right w:val="nil"/>
            </w:tcBorders>
            <w:shd w:val="clear" w:color="000000" w:fill="F2F2F2"/>
            <w:noWrap/>
            <w:vAlign w:val="center"/>
            <w:hideMark/>
          </w:tcPr>
          <w:p w14:paraId="009F3C13"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R$ 95 milhões</w:t>
            </w:r>
          </w:p>
        </w:tc>
      </w:tr>
      <w:tr w:rsidR="002C0830" w:rsidRPr="002C0830" w14:paraId="60F253B4" w14:textId="77777777" w:rsidTr="002C0830">
        <w:trPr>
          <w:trHeight w:val="304"/>
          <w:jc w:val="center"/>
        </w:trPr>
        <w:tc>
          <w:tcPr>
            <w:tcW w:w="776" w:type="dxa"/>
            <w:tcBorders>
              <w:top w:val="nil"/>
              <w:left w:val="nil"/>
              <w:bottom w:val="nil"/>
              <w:right w:val="nil"/>
            </w:tcBorders>
            <w:shd w:val="clear" w:color="000000" w:fill="FFFFFF"/>
            <w:noWrap/>
            <w:vAlign w:val="center"/>
            <w:hideMark/>
          </w:tcPr>
          <w:p w14:paraId="0C3AB12D"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8</w:t>
            </w:r>
          </w:p>
        </w:tc>
        <w:tc>
          <w:tcPr>
            <w:tcW w:w="3135" w:type="dxa"/>
            <w:tcBorders>
              <w:top w:val="nil"/>
              <w:left w:val="nil"/>
              <w:bottom w:val="nil"/>
              <w:right w:val="nil"/>
            </w:tcBorders>
            <w:shd w:val="clear" w:color="000000" w:fill="FFFFFF"/>
            <w:noWrap/>
            <w:vAlign w:val="center"/>
            <w:hideMark/>
          </w:tcPr>
          <w:p w14:paraId="42ABCF28"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de 1.000,01 a 1.100</w:t>
            </w:r>
          </w:p>
        </w:tc>
        <w:tc>
          <w:tcPr>
            <w:tcW w:w="3564" w:type="dxa"/>
            <w:tcBorders>
              <w:top w:val="nil"/>
              <w:left w:val="nil"/>
              <w:bottom w:val="nil"/>
              <w:right w:val="nil"/>
            </w:tcBorders>
            <w:shd w:val="clear" w:color="000000" w:fill="FFFFFF"/>
            <w:noWrap/>
            <w:vAlign w:val="center"/>
            <w:hideMark/>
          </w:tcPr>
          <w:p w14:paraId="54371A21"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R$ 100 milhões</w:t>
            </w:r>
          </w:p>
        </w:tc>
      </w:tr>
      <w:tr w:rsidR="002C0830" w:rsidRPr="002C0830" w14:paraId="50EEBC86" w14:textId="77777777" w:rsidTr="002C0830">
        <w:trPr>
          <w:trHeight w:val="304"/>
          <w:jc w:val="center"/>
        </w:trPr>
        <w:tc>
          <w:tcPr>
            <w:tcW w:w="776" w:type="dxa"/>
            <w:tcBorders>
              <w:top w:val="nil"/>
              <w:left w:val="nil"/>
              <w:bottom w:val="nil"/>
              <w:right w:val="nil"/>
            </w:tcBorders>
            <w:shd w:val="clear" w:color="000000" w:fill="F2F2F2"/>
            <w:noWrap/>
            <w:vAlign w:val="center"/>
            <w:hideMark/>
          </w:tcPr>
          <w:p w14:paraId="4B8219ED"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9</w:t>
            </w:r>
          </w:p>
        </w:tc>
        <w:tc>
          <w:tcPr>
            <w:tcW w:w="3135" w:type="dxa"/>
            <w:tcBorders>
              <w:top w:val="nil"/>
              <w:left w:val="nil"/>
              <w:bottom w:val="nil"/>
              <w:right w:val="nil"/>
            </w:tcBorders>
            <w:shd w:val="clear" w:color="000000" w:fill="F2F2F2"/>
            <w:noWrap/>
            <w:vAlign w:val="center"/>
            <w:hideMark/>
          </w:tcPr>
          <w:p w14:paraId="59296466"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de 1.100,01 a 1.200</w:t>
            </w:r>
          </w:p>
        </w:tc>
        <w:tc>
          <w:tcPr>
            <w:tcW w:w="3564" w:type="dxa"/>
            <w:tcBorders>
              <w:top w:val="nil"/>
              <w:left w:val="nil"/>
              <w:bottom w:val="nil"/>
              <w:right w:val="nil"/>
            </w:tcBorders>
            <w:shd w:val="clear" w:color="000000" w:fill="F2F2F2"/>
            <w:noWrap/>
            <w:vAlign w:val="center"/>
            <w:hideMark/>
          </w:tcPr>
          <w:p w14:paraId="23FD8BF3"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R$ 110 milhões</w:t>
            </w:r>
          </w:p>
        </w:tc>
      </w:tr>
      <w:tr w:rsidR="002C0830" w:rsidRPr="002C0830" w14:paraId="3F3B8397" w14:textId="77777777" w:rsidTr="002C0830">
        <w:trPr>
          <w:trHeight w:val="304"/>
          <w:jc w:val="center"/>
        </w:trPr>
        <w:tc>
          <w:tcPr>
            <w:tcW w:w="776" w:type="dxa"/>
            <w:tcBorders>
              <w:top w:val="nil"/>
              <w:left w:val="nil"/>
              <w:bottom w:val="nil"/>
              <w:right w:val="nil"/>
            </w:tcBorders>
            <w:shd w:val="clear" w:color="000000" w:fill="FFFFFF"/>
            <w:noWrap/>
            <w:vAlign w:val="center"/>
            <w:hideMark/>
          </w:tcPr>
          <w:p w14:paraId="71C332F3"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10</w:t>
            </w:r>
          </w:p>
        </w:tc>
        <w:tc>
          <w:tcPr>
            <w:tcW w:w="3135" w:type="dxa"/>
            <w:tcBorders>
              <w:top w:val="nil"/>
              <w:left w:val="nil"/>
              <w:bottom w:val="nil"/>
              <w:right w:val="nil"/>
            </w:tcBorders>
            <w:shd w:val="clear" w:color="000000" w:fill="FFFFFF"/>
            <w:noWrap/>
            <w:vAlign w:val="center"/>
            <w:hideMark/>
          </w:tcPr>
          <w:p w14:paraId="68867F0C"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de 1.200,01 a 1.300</w:t>
            </w:r>
          </w:p>
        </w:tc>
        <w:tc>
          <w:tcPr>
            <w:tcW w:w="3564" w:type="dxa"/>
            <w:tcBorders>
              <w:top w:val="nil"/>
              <w:left w:val="nil"/>
              <w:bottom w:val="nil"/>
              <w:right w:val="nil"/>
            </w:tcBorders>
            <w:shd w:val="clear" w:color="000000" w:fill="FFFFFF"/>
            <w:noWrap/>
            <w:vAlign w:val="center"/>
            <w:hideMark/>
          </w:tcPr>
          <w:p w14:paraId="0AC4E96C"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R$ 120 milhões</w:t>
            </w:r>
          </w:p>
        </w:tc>
      </w:tr>
      <w:tr w:rsidR="002C0830" w:rsidRPr="002C0830" w14:paraId="28BA0EFE" w14:textId="77777777" w:rsidTr="002C0830">
        <w:trPr>
          <w:trHeight w:val="304"/>
          <w:jc w:val="center"/>
        </w:trPr>
        <w:tc>
          <w:tcPr>
            <w:tcW w:w="776" w:type="dxa"/>
            <w:tcBorders>
              <w:top w:val="nil"/>
              <w:left w:val="nil"/>
              <w:bottom w:val="nil"/>
              <w:right w:val="nil"/>
            </w:tcBorders>
            <w:shd w:val="clear" w:color="000000" w:fill="F2F2F2"/>
            <w:noWrap/>
            <w:vAlign w:val="center"/>
            <w:hideMark/>
          </w:tcPr>
          <w:p w14:paraId="693409E6"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11</w:t>
            </w:r>
          </w:p>
        </w:tc>
        <w:tc>
          <w:tcPr>
            <w:tcW w:w="3135" w:type="dxa"/>
            <w:tcBorders>
              <w:top w:val="nil"/>
              <w:left w:val="nil"/>
              <w:bottom w:val="nil"/>
              <w:right w:val="nil"/>
            </w:tcBorders>
            <w:shd w:val="clear" w:color="000000" w:fill="F2F2F2"/>
            <w:noWrap/>
            <w:vAlign w:val="center"/>
            <w:hideMark/>
          </w:tcPr>
          <w:p w14:paraId="0C6CB8CA"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acima 1.300,01</w:t>
            </w:r>
          </w:p>
        </w:tc>
        <w:tc>
          <w:tcPr>
            <w:tcW w:w="3564" w:type="dxa"/>
            <w:tcBorders>
              <w:top w:val="nil"/>
              <w:left w:val="nil"/>
              <w:bottom w:val="nil"/>
              <w:right w:val="nil"/>
            </w:tcBorders>
            <w:shd w:val="clear" w:color="000000" w:fill="F2F2F2"/>
            <w:noWrap/>
            <w:vAlign w:val="center"/>
            <w:hideMark/>
          </w:tcPr>
          <w:p w14:paraId="41F9D701" w14:textId="77777777" w:rsidR="002C0830" w:rsidRPr="002C0830" w:rsidRDefault="002C0830" w:rsidP="002C0830">
            <w:pPr>
              <w:spacing w:after="0" w:line="240" w:lineRule="auto"/>
              <w:jc w:val="center"/>
              <w:rPr>
                <w:rFonts w:ascii="Calibri" w:eastAsia="Times New Roman" w:hAnsi="Calibri" w:cs="Calibri"/>
                <w:color w:val="000000"/>
                <w:lang w:eastAsia="pt-BR"/>
              </w:rPr>
            </w:pPr>
            <w:r w:rsidRPr="002C0830">
              <w:rPr>
                <w:rFonts w:ascii="Calibri" w:eastAsia="Times New Roman" w:hAnsi="Calibri" w:cs="Calibri"/>
                <w:color w:val="000000"/>
                <w:lang w:eastAsia="pt-BR"/>
              </w:rPr>
              <w:t>R$ 130 milhões</w:t>
            </w:r>
          </w:p>
        </w:tc>
      </w:tr>
    </w:tbl>
    <w:p w14:paraId="18C73090" w14:textId="77777777" w:rsidR="00096FAA" w:rsidRPr="008D5449" w:rsidRDefault="00096FAA" w:rsidP="000B30DF">
      <w:pPr>
        <w:pStyle w:val="Recuodecorpodetexto2"/>
        <w:spacing w:after="200"/>
        <w:ind w:firstLine="0"/>
        <w:jc w:val="center"/>
        <w:rPr>
          <w:rFonts w:ascii="Segoe UI" w:hAnsi="Segoe UI" w:cs="Segoe UI"/>
          <w:strike/>
          <w:sz w:val="20"/>
        </w:rPr>
      </w:pPr>
    </w:p>
    <w:p w14:paraId="5ABC342E" w14:textId="6C5C1B03" w:rsidR="00130DAB" w:rsidRPr="001E64FD" w:rsidRDefault="00CB14F4" w:rsidP="00EF3A5B">
      <w:pPr>
        <w:spacing w:after="200" w:line="240" w:lineRule="auto"/>
        <w:jc w:val="both"/>
        <w:rPr>
          <w:rFonts w:ascii="Segoe UI" w:hAnsi="Segoe UI" w:cs="Segoe UI"/>
          <w:sz w:val="20"/>
          <w:szCs w:val="20"/>
        </w:rPr>
      </w:pPr>
      <w:r w:rsidRPr="0074488D">
        <w:rPr>
          <w:rFonts w:ascii="Segoe UI" w:hAnsi="Segoe UI" w:cs="Segoe UI"/>
          <w:sz w:val="20"/>
          <w:szCs w:val="20"/>
        </w:rPr>
        <w:t xml:space="preserve">Parágrafo </w:t>
      </w:r>
      <w:r w:rsidR="00DA46EF" w:rsidRPr="0074488D">
        <w:rPr>
          <w:rFonts w:ascii="Segoe UI" w:hAnsi="Segoe UI" w:cs="Segoe UI"/>
          <w:sz w:val="20"/>
          <w:szCs w:val="20"/>
        </w:rPr>
        <w:t>Primeiro</w:t>
      </w:r>
      <w:r w:rsidR="001A64A9" w:rsidRPr="0074488D">
        <w:rPr>
          <w:rFonts w:ascii="Segoe UI" w:hAnsi="Segoe UI" w:cs="Segoe UI"/>
          <w:sz w:val="20"/>
          <w:szCs w:val="20"/>
        </w:rPr>
        <w:t xml:space="preserve"> –</w:t>
      </w:r>
      <w:r w:rsidRPr="0074488D">
        <w:rPr>
          <w:rFonts w:ascii="Segoe UI" w:hAnsi="Segoe UI" w:cs="Segoe UI"/>
          <w:sz w:val="20"/>
          <w:szCs w:val="20"/>
        </w:rPr>
        <w:t xml:space="preserve"> Entende-se por </w:t>
      </w:r>
      <w:r w:rsidR="009F5FE7" w:rsidRPr="0074488D">
        <w:rPr>
          <w:rFonts w:ascii="Segoe UI" w:hAnsi="Segoe UI" w:cs="Segoe UI"/>
          <w:sz w:val="20"/>
          <w:szCs w:val="20"/>
        </w:rPr>
        <w:t>L</w:t>
      </w:r>
      <w:r w:rsidRPr="0074488D">
        <w:rPr>
          <w:rFonts w:ascii="Segoe UI" w:hAnsi="Segoe UI" w:cs="Segoe UI"/>
          <w:sz w:val="20"/>
          <w:szCs w:val="20"/>
        </w:rPr>
        <w:t xml:space="preserve">ucro </w:t>
      </w:r>
      <w:r w:rsidR="009F5FE7" w:rsidRPr="0074488D">
        <w:rPr>
          <w:rFonts w:ascii="Segoe UI" w:hAnsi="Segoe UI" w:cs="Segoe UI"/>
          <w:sz w:val="20"/>
          <w:szCs w:val="20"/>
        </w:rPr>
        <w:t>L</w:t>
      </w:r>
      <w:r w:rsidRPr="0074488D">
        <w:rPr>
          <w:rFonts w:ascii="Segoe UI" w:hAnsi="Segoe UI" w:cs="Segoe UI"/>
          <w:sz w:val="20"/>
          <w:szCs w:val="20"/>
        </w:rPr>
        <w:t xml:space="preserve">íquido </w:t>
      </w:r>
      <w:r w:rsidR="009F5FE7" w:rsidRPr="0074488D">
        <w:rPr>
          <w:rFonts w:ascii="Segoe UI" w:hAnsi="Segoe UI" w:cs="Segoe UI"/>
          <w:sz w:val="20"/>
          <w:szCs w:val="20"/>
        </w:rPr>
        <w:t>R</w:t>
      </w:r>
      <w:r w:rsidRPr="0074488D">
        <w:rPr>
          <w:rFonts w:ascii="Segoe UI" w:hAnsi="Segoe UI" w:cs="Segoe UI"/>
          <w:sz w:val="20"/>
          <w:szCs w:val="20"/>
        </w:rPr>
        <w:t xml:space="preserve">ecorrente, para fins deste acordo, o lucro do exercício que remanescer depois de deduzidas as participações de que trata o artigo 190 da Lei nº 6.404/1976, ajustes devedores ou credores de exercícios anteriores, conforme definição no artigo 186, §1º da lei retro mencionada </w:t>
      </w:r>
      <w:r w:rsidRPr="001E64FD">
        <w:rPr>
          <w:rFonts w:ascii="Segoe UI" w:hAnsi="Segoe UI" w:cs="Segoe UI"/>
          <w:sz w:val="20"/>
          <w:szCs w:val="20"/>
        </w:rPr>
        <w:t>e ajustes dos eventos não recorrentes que impactaram no resultado líquido.</w:t>
      </w:r>
    </w:p>
    <w:p w14:paraId="7B4A08C3" w14:textId="6DB405FB" w:rsidR="00DA46EF" w:rsidRPr="001E64FD" w:rsidRDefault="001E64FD" w:rsidP="00EF3A5B">
      <w:pPr>
        <w:spacing w:after="200" w:line="240" w:lineRule="auto"/>
        <w:jc w:val="both"/>
        <w:rPr>
          <w:rFonts w:ascii="Segoe UI" w:hAnsi="Segoe UI" w:cs="Segoe UI"/>
          <w:sz w:val="20"/>
          <w:szCs w:val="20"/>
        </w:rPr>
      </w:pPr>
      <w:r w:rsidRPr="001E64FD">
        <w:rPr>
          <w:rFonts w:ascii="Segoe UI" w:hAnsi="Segoe UI" w:cs="Segoe UI"/>
          <w:sz w:val="20"/>
          <w:szCs w:val="20"/>
        </w:rPr>
        <w:t>Parágrafo Segundo - Será assegurado aos empregados o recebimento da faixa de maior valor se for inviável a estabilização do LLR-Lucro Líquido Recorrente e PPR-Programa de Participação de Resultados na mesma faixa de intervalo devido ao cálculo circular entre ambos.</w:t>
      </w:r>
    </w:p>
    <w:p w14:paraId="0E9003B3" w14:textId="77777777" w:rsidR="00CB14F4" w:rsidRDefault="00CB14F4" w:rsidP="00EF3A5B">
      <w:pPr>
        <w:spacing w:after="200" w:line="240" w:lineRule="auto"/>
        <w:jc w:val="both"/>
        <w:rPr>
          <w:rFonts w:ascii="Segoe UI" w:hAnsi="Segoe UI" w:cs="Segoe UI"/>
          <w:b/>
          <w:bCs/>
          <w:sz w:val="20"/>
          <w:szCs w:val="20"/>
        </w:rPr>
      </w:pPr>
    </w:p>
    <w:p w14:paraId="573C6F7A" w14:textId="0866C4EC" w:rsidR="00D2076D" w:rsidRPr="0074488D" w:rsidRDefault="00D2076D" w:rsidP="00EF3A5B">
      <w:pPr>
        <w:spacing w:after="200" w:line="240" w:lineRule="auto"/>
        <w:jc w:val="both"/>
        <w:rPr>
          <w:rFonts w:ascii="Segoe UI" w:hAnsi="Segoe UI" w:cs="Segoe UI"/>
          <w:b/>
          <w:bCs/>
          <w:sz w:val="20"/>
          <w:szCs w:val="20"/>
        </w:rPr>
      </w:pPr>
      <w:r w:rsidRPr="0074488D">
        <w:rPr>
          <w:rFonts w:ascii="Segoe UI" w:hAnsi="Segoe UI" w:cs="Segoe UI"/>
          <w:b/>
          <w:bCs/>
          <w:sz w:val="20"/>
          <w:szCs w:val="20"/>
        </w:rPr>
        <w:t>DOS MONTANTES DE DISTRIBUIÇÃO</w:t>
      </w:r>
    </w:p>
    <w:p w14:paraId="3A9BD990" w14:textId="01F0D777" w:rsidR="00096FAA" w:rsidRPr="0074488D" w:rsidRDefault="00096FAA" w:rsidP="00096FAA">
      <w:pPr>
        <w:spacing w:after="200" w:line="240" w:lineRule="auto"/>
        <w:jc w:val="both"/>
        <w:rPr>
          <w:rFonts w:ascii="Segoe UI" w:hAnsi="Segoe UI" w:cs="Segoe UI"/>
          <w:b/>
          <w:bCs/>
          <w:sz w:val="20"/>
          <w:szCs w:val="20"/>
        </w:rPr>
      </w:pPr>
      <w:r w:rsidRPr="0074488D">
        <w:rPr>
          <w:rFonts w:ascii="Segoe UI" w:hAnsi="Segoe UI" w:cs="Segoe UI"/>
          <w:b/>
          <w:bCs/>
          <w:sz w:val="20"/>
          <w:szCs w:val="20"/>
        </w:rPr>
        <w:t>CLÁUSULA SÉTIMA – MONTANTE DE DISTRIBUIÇÃO</w:t>
      </w:r>
      <w:r w:rsidR="00D2076D" w:rsidRPr="0074488D">
        <w:rPr>
          <w:rFonts w:ascii="Segoe UI" w:hAnsi="Segoe UI" w:cs="Segoe UI"/>
          <w:b/>
          <w:bCs/>
          <w:sz w:val="20"/>
          <w:szCs w:val="20"/>
        </w:rPr>
        <w:t xml:space="preserve"> GLOBAL</w:t>
      </w:r>
    </w:p>
    <w:p w14:paraId="79FAD539" w14:textId="29BAD3A0" w:rsidR="00787A8D" w:rsidRPr="0074488D" w:rsidRDefault="00462FC9" w:rsidP="00096FAA">
      <w:pPr>
        <w:spacing w:after="200" w:line="240" w:lineRule="auto"/>
        <w:jc w:val="both"/>
        <w:rPr>
          <w:rFonts w:ascii="Segoe UI" w:eastAsia="Times New Roman" w:hAnsi="Segoe UI" w:cs="Segoe UI"/>
          <w:bCs/>
          <w:sz w:val="20"/>
          <w:szCs w:val="20"/>
          <w:lang w:eastAsia="pt-BR"/>
        </w:rPr>
      </w:pPr>
      <w:r w:rsidRPr="0074488D">
        <w:rPr>
          <w:rFonts w:ascii="Segoe UI" w:eastAsia="Times New Roman" w:hAnsi="Segoe UI" w:cs="Segoe UI"/>
          <w:bCs/>
          <w:sz w:val="20"/>
          <w:szCs w:val="20"/>
          <w:lang w:eastAsia="pt-BR"/>
        </w:rPr>
        <w:t xml:space="preserve">A partir do atingimento do Gatilho e conforme </w:t>
      </w:r>
      <w:r w:rsidRPr="0074488D">
        <w:rPr>
          <w:rFonts w:ascii="Segoe UI" w:hAnsi="Segoe UI" w:cs="Segoe UI"/>
          <w:sz w:val="20"/>
        </w:rPr>
        <w:t xml:space="preserve">a faixa de lucratividade atingida pelo </w:t>
      </w:r>
      <w:r w:rsidR="006856F1" w:rsidRPr="0074488D">
        <w:rPr>
          <w:rFonts w:ascii="Segoe UI" w:hAnsi="Segoe UI" w:cs="Segoe UI"/>
          <w:sz w:val="20"/>
        </w:rPr>
        <w:t xml:space="preserve">Banco </w:t>
      </w:r>
      <w:r w:rsidR="00787A8D" w:rsidRPr="0074488D">
        <w:rPr>
          <w:rFonts w:ascii="Segoe UI" w:eastAsia="Times New Roman" w:hAnsi="Segoe UI" w:cs="Segoe UI"/>
          <w:bCs/>
          <w:sz w:val="20"/>
          <w:szCs w:val="20"/>
          <w:lang w:eastAsia="pt-BR"/>
        </w:rPr>
        <w:t xml:space="preserve">são definidos os </w:t>
      </w:r>
      <w:r w:rsidR="00096FAA" w:rsidRPr="0074488D">
        <w:rPr>
          <w:rFonts w:ascii="Segoe UI" w:eastAsia="Times New Roman" w:hAnsi="Segoe UI" w:cs="Segoe UI"/>
          <w:bCs/>
          <w:sz w:val="20"/>
          <w:szCs w:val="20"/>
          <w:lang w:eastAsia="pt-BR"/>
        </w:rPr>
        <w:t>limites de distribuição</w:t>
      </w:r>
      <w:r w:rsidR="00787A8D" w:rsidRPr="0074488D">
        <w:rPr>
          <w:rFonts w:ascii="Segoe UI" w:eastAsia="Times New Roman" w:hAnsi="Segoe UI" w:cs="Segoe UI"/>
          <w:bCs/>
          <w:sz w:val="20"/>
          <w:szCs w:val="20"/>
          <w:lang w:eastAsia="pt-BR"/>
        </w:rPr>
        <w:t xml:space="preserve"> do Programa:</w:t>
      </w:r>
    </w:p>
    <w:p w14:paraId="388BEDCD" w14:textId="44C36F03" w:rsidR="009D6D92" w:rsidRPr="0074488D" w:rsidRDefault="00787A8D" w:rsidP="00CB14F4">
      <w:pPr>
        <w:pStyle w:val="PargrafodaLista"/>
        <w:numPr>
          <w:ilvl w:val="0"/>
          <w:numId w:val="11"/>
        </w:numPr>
        <w:spacing w:after="200" w:line="240" w:lineRule="auto"/>
        <w:jc w:val="both"/>
        <w:rPr>
          <w:rFonts w:ascii="Segoe UI" w:hAnsi="Segoe UI" w:cs="Segoe UI"/>
          <w:sz w:val="20"/>
          <w:szCs w:val="20"/>
        </w:rPr>
      </w:pPr>
      <w:r w:rsidRPr="0074488D">
        <w:rPr>
          <w:rFonts w:ascii="Segoe UI" w:eastAsia="Times New Roman" w:hAnsi="Segoe UI" w:cs="Segoe UI"/>
          <w:bCs/>
          <w:sz w:val="20"/>
          <w:szCs w:val="20"/>
          <w:lang w:eastAsia="pt-BR"/>
        </w:rPr>
        <w:t xml:space="preserve">Nas </w:t>
      </w:r>
      <w:r w:rsidR="002C0830" w:rsidRPr="0074488D">
        <w:rPr>
          <w:rFonts w:ascii="Segoe UI" w:eastAsia="Times New Roman" w:hAnsi="Segoe UI" w:cs="Segoe UI"/>
          <w:bCs/>
          <w:sz w:val="20"/>
          <w:szCs w:val="20"/>
          <w:lang w:eastAsia="pt-BR"/>
        </w:rPr>
        <w:t>duas</w:t>
      </w:r>
      <w:r w:rsidRPr="0074488D">
        <w:rPr>
          <w:rFonts w:ascii="Segoe UI" w:eastAsia="Times New Roman" w:hAnsi="Segoe UI" w:cs="Segoe UI"/>
          <w:bCs/>
          <w:sz w:val="20"/>
          <w:szCs w:val="20"/>
          <w:lang w:eastAsia="pt-BR"/>
        </w:rPr>
        <w:t xml:space="preserve"> primeiras faixas de atingimento de Lucro Líquido </w:t>
      </w:r>
      <w:r w:rsidR="00A4140A" w:rsidRPr="0074488D">
        <w:rPr>
          <w:rFonts w:ascii="Segoe UI" w:eastAsia="Times New Roman" w:hAnsi="Segoe UI" w:cs="Segoe UI"/>
          <w:bCs/>
          <w:sz w:val="20"/>
          <w:szCs w:val="20"/>
          <w:lang w:eastAsia="pt-BR"/>
        </w:rPr>
        <w:t>R</w:t>
      </w:r>
      <w:r w:rsidRPr="0074488D">
        <w:rPr>
          <w:rFonts w:ascii="Segoe UI" w:eastAsia="Times New Roman" w:hAnsi="Segoe UI" w:cs="Segoe UI"/>
          <w:bCs/>
          <w:sz w:val="20"/>
          <w:szCs w:val="20"/>
          <w:lang w:eastAsia="pt-BR"/>
        </w:rPr>
        <w:t>ecorrente será distribuído um valor linear a todos os empregados</w:t>
      </w:r>
      <w:r w:rsidR="009D6D92" w:rsidRPr="0074488D">
        <w:rPr>
          <w:rFonts w:ascii="Segoe UI" w:eastAsia="Times New Roman" w:hAnsi="Segoe UI" w:cs="Segoe UI"/>
          <w:bCs/>
          <w:sz w:val="20"/>
          <w:szCs w:val="20"/>
          <w:lang w:eastAsia="pt-BR"/>
        </w:rPr>
        <w:t>, pro</w:t>
      </w:r>
      <w:r w:rsidR="009D6D92" w:rsidRPr="0074488D">
        <w:rPr>
          <w:rFonts w:ascii="Segoe UI" w:hAnsi="Segoe UI" w:cs="Segoe UI"/>
          <w:sz w:val="20"/>
          <w:szCs w:val="20"/>
        </w:rPr>
        <w:t>porcional ao tempo efetivamente trabalhado, à razão de 1/12 (um doze avos) por mês trabalhado ou fração igual ou superior a 15 (quinze) dias.</w:t>
      </w:r>
    </w:p>
    <w:p w14:paraId="03C3760F" w14:textId="77777777" w:rsidR="009D7796" w:rsidRPr="0074488D" w:rsidRDefault="009D7796" w:rsidP="009D7796">
      <w:pPr>
        <w:pStyle w:val="PargrafodaLista"/>
        <w:spacing w:after="200" w:line="240" w:lineRule="auto"/>
        <w:jc w:val="both"/>
        <w:rPr>
          <w:rFonts w:ascii="Segoe UI" w:hAnsi="Segoe UI" w:cs="Segoe UI"/>
          <w:sz w:val="20"/>
          <w:szCs w:val="20"/>
        </w:rPr>
      </w:pPr>
    </w:p>
    <w:p w14:paraId="26F411DB" w14:textId="2A06E531" w:rsidR="001A64A9" w:rsidRPr="0074488D" w:rsidRDefault="00787A8D" w:rsidP="001A64A9">
      <w:pPr>
        <w:pStyle w:val="PargrafodaLista"/>
        <w:numPr>
          <w:ilvl w:val="0"/>
          <w:numId w:val="11"/>
        </w:numPr>
        <w:spacing w:after="200" w:line="240" w:lineRule="auto"/>
        <w:jc w:val="both"/>
        <w:rPr>
          <w:rFonts w:ascii="Segoe UI" w:eastAsia="Times New Roman" w:hAnsi="Segoe UI" w:cs="Segoe UI"/>
          <w:bCs/>
          <w:sz w:val="20"/>
          <w:szCs w:val="20"/>
          <w:lang w:eastAsia="pt-BR"/>
        </w:rPr>
      </w:pPr>
      <w:r w:rsidRPr="0074488D">
        <w:rPr>
          <w:rFonts w:ascii="Segoe UI" w:eastAsia="Times New Roman" w:hAnsi="Segoe UI" w:cs="Segoe UI"/>
          <w:bCs/>
          <w:sz w:val="20"/>
          <w:szCs w:val="20"/>
          <w:lang w:eastAsia="pt-BR"/>
        </w:rPr>
        <w:t xml:space="preserve">Nas demais faixas </w:t>
      </w:r>
      <w:r w:rsidR="00D2076D" w:rsidRPr="0074488D">
        <w:rPr>
          <w:rFonts w:ascii="Segoe UI" w:eastAsia="Times New Roman" w:hAnsi="Segoe UI" w:cs="Segoe UI"/>
          <w:bCs/>
          <w:sz w:val="20"/>
          <w:szCs w:val="20"/>
          <w:lang w:eastAsia="pt-BR"/>
        </w:rPr>
        <w:t xml:space="preserve">será realizado o processamento do cálculo de atingimento de metas, conforme descrito no Anexo deste acordo.  </w:t>
      </w:r>
      <w:r w:rsidR="00096FAA" w:rsidRPr="0074488D">
        <w:rPr>
          <w:rFonts w:ascii="Segoe UI" w:eastAsia="Times New Roman" w:hAnsi="Segoe UI" w:cs="Segoe UI"/>
          <w:bCs/>
          <w:sz w:val="20"/>
          <w:szCs w:val="20"/>
          <w:lang w:eastAsia="pt-BR"/>
        </w:rPr>
        <w:t>Caso o montante seja menor que o limite da faixa, será distribuído o valor calculado</w:t>
      </w:r>
      <w:r w:rsidR="00D2076D" w:rsidRPr="0074488D">
        <w:rPr>
          <w:rFonts w:ascii="Segoe UI" w:eastAsia="Times New Roman" w:hAnsi="Segoe UI" w:cs="Segoe UI"/>
          <w:bCs/>
          <w:sz w:val="20"/>
          <w:szCs w:val="20"/>
          <w:lang w:eastAsia="pt-BR"/>
        </w:rPr>
        <w:t xml:space="preserve"> para cada empregado</w:t>
      </w:r>
      <w:r w:rsidR="00096FAA" w:rsidRPr="0074488D">
        <w:rPr>
          <w:rFonts w:ascii="Segoe UI" w:eastAsia="Times New Roman" w:hAnsi="Segoe UI" w:cs="Segoe UI"/>
          <w:bCs/>
          <w:sz w:val="20"/>
          <w:szCs w:val="20"/>
          <w:lang w:eastAsia="pt-BR"/>
        </w:rPr>
        <w:t>.</w:t>
      </w:r>
      <w:r w:rsidR="00D2076D" w:rsidRPr="0074488D">
        <w:rPr>
          <w:rFonts w:ascii="Segoe UI" w:eastAsia="Times New Roman" w:hAnsi="Segoe UI" w:cs="Segoe UI"/>
          <w:bCs/>
          <w:sz w:val="20"/>
          <w:szCs w:val="20"/>
          <w:lang w:eastAsia="pt-BR"/>
        </w:rPr>
        <w:t xml:space="preserve"> </w:t>
      </w:r>
      <w:r w:rsidR="00096FAA" w:rsidRPr="0074488D">
        <w:rPr>
          <w:rFonts w:ascii="Segoe UI" w:eastAsia="Times New Roman" w:hAnsi="Segoe UI" w:cs="Segoe UI"/>
          <w:bCs/>
          <w:sz w:val="20"/>
          <w:szCs w:val="20"/>
          <w:lang w:eastAsia="pt-BR"/>
        </w:rPr>
        <w:t xml:space="preserve">Se o montante passar o limite, será aplicado um percentual de redução </w:t>
      </w:r>
      <w:r w:rsidR="00D2076D" w:rsidRPr="0074488D">
        <w:rPr>
          <w:rFonts w:ascii="Segoe UI" w:eastAsia="Times New Roman" w:hAnsi="Segoe UI" w:cs="Segoe UI"/>
          <w:bCs/>
          <w:sz w:val="20"/>
          <w:szCs w:val="20"/>
          <w:lang w:eastAsia="pt-BR"/>
        </w:rPr>
        <w:t xml:space="preserve">linear </w:t>
      </w:r>
      <w:r w:rsidR="00096FAA" w:rsidRPr="0074488D">
        <w:rPr>
          <w:rFonts w:ascii="Segoe UI" w:eastAsia="Times New Roman" w:hAnsi="Segoe UI" w:cs="Segoe UI"/>
          <w:bCs/>
          <w:sz w:val="20"/>
          <w:szCs w:val="20"/>
          <w:lang w:eastAsia="pt-BR"/>
        </w:rPr>
        <w:t>no cálculo de valor final de todos os empregados, exceto para aqueles que receberão o Valor Básico de Participação</w:t>
      </w:r>
      <w:r w:rsidR="0017615F" w:rsidRPr="0074488D">
        <w:rPr>
          <w:rFonts w:ascii="Segoe UI" w:eastAsia="Times New Roman" w:hAnsi="Segoe UI" w:cs="Segoe UI"/>
          <w:bCs/>
          <w:sz w:val="20"/>
          <w:szCs w:val="20"/>
          <w:lang w:eastAsia="pt-BR"/>
        </w:rPr>
        <w:t xml:space="preserve"> (em razão do não atingimento da meta mínima)</w:t>
      </w:r>
      <w:r w:rsidR="00096FAA" w:rsidRPr="0074488D">
        <w:rPr>
          <w:rFonts w:ascii="Segoe UI" w:eastAsia="Times New Roman" w:hAnsi="Segoe UI" w:cs="Segoe UI"/>
          <w:bCs/>
          <w:sz w:val="20"/>
          <w:szCs w:val="20"/>
          <w:lang w:eastAsia="pt-BR"/>
        </w:rPr>
        <w:t>.</w:t>
      </w:r>
    </w:p>
    <w:p w14:paraId="3A7C6A15" w14:textId="77777777" w:rsidR="009F5FE7" w:rsidRPr="0074488D" w:rsidRDefault="009F5FE7" w:rsidP="009F5FE7">
      <w:pPr>
        <w:pStyle w:val="PargrafodaLista"/>
        <w:rPr>
          <w:rFonts w:ascii="Segoe UI" w:eastAsia="Times New Roman" w:hAnsi="Segoe UI" w:cs="Segoe UI"/>
          <w:bCs/>
          <w:sz w:val="20"/>
          <w:szCs w:val="20"/>
          <w:lang w:eastAsia="pt-BR"/>
        </w:rPr>
      </w:pPr>
    </w:p>
    <w:p w14:paraId="04435A83" w14:textId="77777777" w:rsidR="001A64A9" w:rsidRPr="0074488D" w:rsidRDefault="001A64A9" w:rsidP="001A64A9">
      <w:pPr>
        <w:spacing w:after="200" w:line="240" w:lineRule="auto"/>
        <w:jc w:val="both"/>
        <w:rPr>
          <w:rFonts w:ascii="Segoe UI" w:eastAsia="Times New Roman" w:hAnsi="Segoe UI" w:cs="Segoe UI"/>
          <w:bCs/>
          <w:sz w:val="20"/>
          <w:szCs w:val="20"/>
          <w:lang w:eastAsia="pt-BR"/>
        </w:rPr>
      </w:pPr>
    </w:p>
    <w:p w14:paraId="5537F945" w14:textId="10586427" w:rsidR="000F1755" w:rsidRPr="0074488D" w:rsidRDefault="000F1755" w:rsidP="000F0542">
      <w:pPr>
        <w:pStyle w:val="NormalWeb"/>
        <w:spacing w:before="0" w:beforeAutospacing="0" w:after="200" w:afterAutospacing="0"/>
        <w:jc w:val="both"/>
        <w:rPr>
          <w:rFonts w:ascii="Segoe UI" w:hAnsi="Segoe UI" w:cs="Segoe UI"/>
          <w:b/>
          <w:bCs/>
          <w:sz w:val="20"/>
          <w:szCs w:val="20"/>
        </w:rPr>
      </w:pPr>
      <w:r w:rsidRPr="0074488D">
        <w:rPr>
          <w:rFonts w:ascii="Segoe UI" w:hAnsi="Segoe UI" w:cs="Segoe UI"/>
          <w:b/>
          <w:sz w:val="20"/>
          <w:szCs w:val="20"/>
        </w:rPr>
        <w:t xml:space="preserve">CLÁUSULA </w:t>
      </w:r>
      <w:r w:rsidR="002C0830" w:rsidRPr="0074488D">
        <w:rPr>
          <w:rFonts w:ascii="Segoe UI" w:hAnsi="Segoe UI" w:cs="Segoe UI"/>
          <w:b/>
          <w:sz w:val="20"/>
          <w:szCs w:val="20"/>
        </w:rPr>
        <w:t>OITAVA</w:t>
      </w:r>
      <w:r w:rsidR="0050505F" w:rsidRPr="0074488D">
        <w:rPr>
          <w:rFonts w:ascii="Segoe UI" w:hAnsi="Segoe UI" w:cs="Segoe UI"/>
          <w:b/>
          <w:sz w:val="20"/>
          <w:szCs w:val="20"/>
        </w:rPr>
        <w:t xml:space="preserve"> </w:t>
      </w:r>
      <w:r w:rsidRPr="0074488D">
        <w:rPr>
          <w:rFonts w:ascii="Segoe UI" w:hAnsi="Segoe UI" w:cs="Segoe UI"/>
          <w:b/>
          <w:sz w:val="20"/>
          <w:szCs w:val="20"/>
        </w:rPr>
        <w:t xml:space="preserve">– DOS INDICADORES E </w:t>
      </w:r>
      <w:r w:rsidRPr="0074488D">
        <w:rPr>
          <w:rFonts w:ascii="Segoe UI" w:hAnsi="Segoe UI" w:cs="Segoe UI"/>
          <w:b/>
          <w:bCs/>
          <w:sz w:val="20"/>
          <w:szCs w:val="20"/>
        </w:rPr>
        <w:t>OBJETIVOS</w:t>
      </w:r>
    </w:p>
    <w:p w14:paraId="37C8B5DF" w14:textId="77777777" w:rsidR="00630ADD" w:rsidRDefault="000F1755" w:rsidP="000F0542">
      <w:pPr>
        <w:pStyle w:val="NormalWeb"/>
        <w:spacing w:before="0" w:beforeAutospacing="0" w:after="200" w:afterAutospacing="0"/>
        <w:jc w:val="both"/>
        <w:rPr>
          <w:rFonts w:ascii="Segoe UI" w:hAnsi="Segoe UI" w:cs="Segoe UI"/>
          <w:bCs/>
          <w:sz w:val="20"/>
          <w:szCs w:val="20"/>
        </w:rPr>
      </w:pPr>
      <w:r w:rsidRPr="00DB0986">
        <w:rPr>
          <w:rFonts w:ascii="Segoe UI" w:hAnsi="Segoe UI" w:cs="Segoe UI"/>
          <w:bCs/>
          <w:sz w:val="20"/>
          <w:szCs w:val="20"/>
        </w:rPr>
        <w:t xml:space="preserve">Todas as Unidades e a Rede de Agências terão indicadores para mensuração de desempenho e do atingimento dos </w:t>
      </w:r>
      <w:r w:rsidRPr="00DB0986">
        <w:rPr>
          <w:rFonts w:ascii="Segoe UI" w:hAnsi="Segoe UI" w:cs="Segoe UI"/>
          <w:sz w:val="20"/>
          <w:szCs w:val="20"/>
        </w:rPr>
        <w:t>objetivos</w:t>
      </w:r>
      <w:r w:rsidRPr="00DB0986">
        <w:rPr>
          <w:rFonts w:ascii="Segoe UI" w:hAnsi="Segoe UI" w:cs="Segoe UI"/>
          <w:bCs/>
          <w:sz w:val="20"/>
          <w:szCs w:val="20"/>
        </w:rPr>
        <w:t>, alinhados à estratégia do Banco e baseados em resultado, produtividade, os quais estão previstos no Anexo a este instrumento, o qual faz parte integrante deste Acordo Coletivo de Trabalho.</w:t>
      </w:r>
      <w:r w:rsidR="00630ADD">
        <w:rPr>
          <w:rFonts w:ascii="Segoe UI" w:hAnsi="Segoe UI" w:cs="Segoe UI"/>
          <w:bCs/>
          <w:sz w:val="20"/>
          <w:szCs w:val="20"/>
        </w:rPr>
        <w:t xml:space="preserve"> </w:t>
      </w:r>
    </w:p>
    <w:p w14:paraId="4B93CE5E" w14:textId="5D8A88B6" w:rsidR="00630ADD" w:rsidRDefault="00630ADD" w:rsidP="000F0542">
      <w:pPr>
        <w:pStyle w:val="NormalWeb"/>
        <w:spacing w:before="0" w:beforeAutospacing="0" w:after="200" w:afterAutospacing="0"/>
        <w:jc w:val="both"/>
        <w:rPr>
          <w:rFonts w:ascii="Segoe UI" w:hAnsi="Segoe UI" w:cs="Segoe UI"/>
          <w:bCs/>
          <w:sz w:val="20"/>
          <w:szCs w:val="20"/>
        </w:rPr>
      </w:pPr>
      <w:r>
        <w:rPr>
          <w:rFonts w:ascii="Segoe UI" w:hAnsi="Segoe UI" w:cs="Segoe UI"/>
          <w:bCs/>
          <w:sz w:val="20"/>
          <w:szCs w:val="20"/>
        </w:rPr>
        <w:t>Parágrafo Primeiro</w:t>
      </w:r>
      <w:r w:rsidR="001A64A9">
        <w:rPr>
          <w:rFonts w:ascii="Segoe UI" w:hAnsi="Segoe UI" w:cs="Segoe UI"/>
          <w:bCs/>
          <w:sz w:val="20"/>
          <w:szCs w:val="20"/>
        </w:rPr>
        <w:t xml:space="preserve"> – </w:t>
      </w:r>
      <w:r>
        <w:rPr>
          <w:rFonts w:ascii="Segoe UI" w:hAnsi="Segoe UI" w:cs="Segoe UI"/>
          <w:bCs/>
          <w:sz w:val="20"/>
          <w:szCs w:val="20"/>
        </w:rPr>
        <w:t xml:space="preserve">O processamento do atingimento dos indicadores para cada empregado, conforme descrito no Anexo, ocorrerá somente se o Banco atingir Gatilho de Lucro Líquido </w:t>
      </w:r>
      <w:r w:rsidR="00A4140A">
        <w:rPr>
          <w:rFonts w:ascii="Segoe UI" w:hAnsi="Segoe UI" w:cs="Segoe UI"/>
          <w:bCs/>
          <w:sz w:val="20"/>
          <w:szCs w:val="20"/>
        </w:rPr>
        <w:t>R</w:t>
      </w:r>
      <w:r>
        <w:rPr>
          <w:rFonts w:ascii="Segoe UI" w:hAnsi="Segoe UI" w:cs="Segoe UI"/>
          <w:bCs/>
          <w:sz w:val="20"/>
          <w:szCs w:val="20"/>
        </w:rPr>
        <w:t xml:space="preserve">ecorrente a partir da Faixa </w:t>
      </w:r>
      <w:r w:rsidR="002C0830">
        <w:rPr>
          <w:rFonts w:ascii="Segoe UI" w:hAnsi="Segoe UI" w:cs="Segoe UI"/>
          <w:bCs/>
          <w:sz w:val="20"/>
          <w:szCs w:val="20"/>
        </w:rPr>
        <w:t>3</w:t>
      </w:r>
      <w:r>
        <w:rPr>
          <w:rFonts w:ascii="Segoe UI" w:hAnsi="Segoe UI" w:cs="Segoe UI"/>
          <w:bCs/>
          <w:sz w:val="20"/>
          <w:szCs w:val="20"/>
        </w:rPr>
        <w:t>.</w:t>
      </w:r>
    </w:p>
    <w:p w14:paraId="6A941823" w14:textId="2DC78E90" w:rsidR="000F1755" w:rsidRDefault="00630ADD" w:rsidP="00286DEC">
      <w:pPr>
        <w:pStyle w:val="NormalWeb"/>
        <w:rPr>
          <w:rFonts w:ascii="Segoe UI" w:hAnsi="Segoe UI" w:cs="Segoe UI"/>
          <w:bCs/>
          <w:sz w:val="20"/>
          <w:szCs w:val="20"/>
        </w:rPr>
      </w:pPr>
      <w:r>
        <w:rPr>
          <w:rFonts w:ascii="Segoe UI" w:hAnsi="Segoe UI" w:cs="Segoe UI"/>
          <w:bCs/>
          <w:sz w:val="20"/>
          <w:szCs w:val="20"/>
        </w:rPr>
        <w:t xml:space="preserve">Parágrafo Segundo – O </w:t>
      </w:r>
      <w:r w:rsidRPr="00630ADD">
        <w:rPr>
          <w:rFonts w:ascii="Segoe UI" w:hAnsi="Segoe UI" w:cs="Segoe UI"/>
          <w:bCs/>
          <w:sz w:val="20"/>
          <w:szCs w:val="20"/>
        </w:rPr>
        <w:t xml:space="preserve">desempenho </w:t>
      </w:r>
      <w:r w:rsidRPr="0074488D">
        <w:rPr>
          <w:rFonts w:ascii="Segoe UI" w:hAnsi="Segoe UI" w:cs="Segoe UI"/>
          <w:bCs/>
          <w:sz w:val="20"/>
          <w:szCs w:val="20"/>
        </w:rPr>
        <w:t>individual mínimo para fazer jus ao valor apurado de PPR é de 70%</w:t>
      </w:r>
      <w:r>
        <w:rPr>
          <w:rFonts w:ascii="Segoe UI" w:hAnsi="Segoe UI" w:cs="Segoe UI"/>
          <w:bCs/>
          <w:sz w:val="20"/>
          <w:szCs w:val="20"/>
        </w:rPr>
        <w:t xml:space="preserve"> de atingimento. </w:t>
      </w:r>
    </w:p>
    <w:p w14:paraId="172E7522" w14:textId="77777777" w:rsidR="00175518" w:rsidRDefault="00175518" w:rsidP="000F0542">
      <w:pPr>
        <w:pStyle w:val="Recuodecorpodetexto"/>
        <w:spacing w:after="200"/>
        <w:ind w:firstLine="0"/>
        <w:rPr>
          <w:rFonts w:ascii="Segoe UI" w:hAnsi="Segoe UI" w:cs="Segoe UI"/>
          <w:b/>
          <w:caps/>
          <w:color w:val="000000" w:themeColor="text1"/>
          <w:sz w:val="20"/>
        </w:rPr>
      </w:pPr>
    </w:p>
    <w:p w14:paraId="0CD92289" w14:textId="0A6E44CF" w:rsidR="000F1755" w:rsidRPr="00DB0986" w:rsidRDefault="000F1755" w:rsidP="000F0542">
      <w:pPr>
        <w:pStyle w:val="Recuodecorpodetexto"/>
        <w:spacing w:after="200"/>
        <w:ind w:firstLine="0"/>
        <w:rPr>
          <w:rFonts w:ascii="Segoe UI" w:hAnsi="Segoe UI" w:cs="Segoe UI"/>
          <w:b/>
          <w:color w:val="auto"/>
          <w:sz w:val="20"/>
        </w:rPr>
      </w:pPr>
      <w:r w:rsidRPr="00DB0986">
        <w:rPr>
          <w:rFonts w:ascii="Segoe UI" w:hAnsi="Segoe UI" w:cs="Segoe UI"/>
          <w:b/>
          <w:caps/>
          <w:color w:val="000000" w:themeColor="text1"/>
          <w:sz w:val="20"/>
        </w:rPr>
        <w:t xml:space="preserve">CLÁUSULA </w:t>
      </w:r>
      <w:r w:rsidR="00DF483E">
        <w:rPr>
          <w:rFonts w:ascii="Segoe UI" w:hAnsi="Segoe UI" w:cs="Segoe UI"/>
          <w:b/>
          <w:caps/>
          <w:color w:val="000000" w:themeColor="text1"/>
          <w:sz w:val="20"/>
        </w:rPr>
        <w:t>NONA</w:t>
      </w:r>
      <w:r w:rsidR="00E17FB0">
        <w:rPr>
          <w:rFonts w:ascii="Segoe UI" w:hAnsi="Segoe UI" w:cs="Segoe UI"/>
          <w:b/>
          <w:caps/>
          <w:color w:val="000000" w:themeColor="text1"/>
          <w:sz w:val="20"/>
        </w:rPr>
        <w:t xml:space="preserve"> </w:t>
      </w:r>
      <w:r w:rsidRPr="00DB0986">
        <w:rPr>
          <w:rFonts w:ascii="Segoe UI" w:hAnsi="Segoe UI" w:cs="Segoe UI"/>
          <w:b/>
          <w:caps/>
          <w:color w:val="000000" w:themeColor="text1"/>
          <w:sz w:val="20"/>
        </w:rPr>
        <w:t xml:space="preserve">– </w:t>
      </w:r>
      <w:r w:rsidRPr="00DB0986">
        <w:rPr>
          <w:rFonts w:ascii="Segoe UI" w:hAnsi="Segoe UI" w:cs="Segoe UI"/>
          <w:b/>
          <w:caps/>
          <w:color w:val="auto"/>
          <w:sz w:val="20"/>
        </w:rPr>
        <w:t>Do cálculo do Valor da Participação</w:t>
      </w:r>
    </w:p>
    <w:p w14:paraId="010EA4AF" w14:textId="05D33398" w:rsidR="000F1755" w:rsidRPr="00E264FE" w:rsidRDefault="000F1755" w:rsidP="00E264FE">
      <w:pPr>
        <w:spacing w:after="200" w:line="240" w:lineRule="auto"/>
        <w:jc w:val="both"/>
        <w:rPr>
          <w:rFonts w:ascii="Segoe UI" w:eastAsia="Times New Roman" w:hAnsi="Segoe UI" w:cs="Segoe UI"/>
          <w:bCs/>
          <w:sz w:val="20"/>
          <w:szCs w:val="20"/>
          <w:lang w:eastAsia="pt-BR"/>
        </w:rPr>
      </w:pPr>
      <w:r w:rsidRPr="00DB0986">
        <w:rPr>
          <w:rFonts w:ascii="Segoe UI" w:eastAsia="Times New Roman" w:hAnsi="Segoe UI" w:cs="Segoe UI"/>
          <w:bCs/>
          <w:sz w:val="20"/>
          <w:szCs w:val="20"/>
          <w:lang w:eastAsia="pt-BR"/>
        </w:rPr>
        <w:t xml:space="preserve">O cálculo do valor da </w:t>
      </w:r>
      <w:r w:rsidRPr="006A5099">
        <w:rPr>
          <w:rFonts w:ascii="Segoe UI" w:eastAsia="Times New Roman" w:hAnsi="Segoe UI" w:cs="Segoe UI"/>
          <w:bCs/>
          <w:sz w:val="20"/>
          <w:szCs w:val="20"/>
          <w:lang w:eastAsia="pt-BR"/>
        </w:rPr>
        <w:t xml:space="preserve">participação a ser distribuída corresponde ao Valor de Referência (Valor definido </w:t>
      </w:r>
      <w:r w:rsidR="00A61A19" w:rsidRPr="006A5099">
        <w:rPr>
          <w:rFonts w:ascii="Segoe UI" w:eastAsia="Times New Roman" w:hAnsi="Segoe UI" w:cs="Segoe UI"/>
          <w:bCs/>
          <w:sz w:val="20"/>
          <w:szCs w:val="20"/>
          <w:lang w:eastAsia="pt-BR"/>
        </w:rPr>
        <w:t>conforme</w:t>
      </w:r>
      <w:r w:rsidR="006A5099" w:rsidRPr="006A5099">
        <w:rPr>
          <w:rFonts w:ascii="Segoe UI" w:eastAsia="Times New Roman" w:hAnsi="Segoe UI" w:cs="Segoe UI"/>
          <w:bCs/>
          <w:sz w:val="20"/>
          <w:szCs w:val="20"/>
          <w:lang w:eastAsia="pt-BR"/>
        </w:rPr>
        <w:t xml:space="preserve"> </w:t>
      </w:r>
      <w:r w:rsidR="00A61A19" w:rsidRPr="006A5099">
        <w:rPr>
          <w:rFonts w:ascii="Segoe UI" w:eastAsia="Times New Roman" w:hAnsi="Segoe UI" w:cs="Segoe UI"/>
          <w:bCs/>
          <w:sz w:val="20"/>
          <w:szCs w:val="20"/>
          <w:lang w:eastAsia="pt-BR"/>
        </w:rPr>
        <w:t xml:space="preserve">tabela </w:t>
      </w:r>
      <w:r w:rsidR="006A5099" w:rsidRPr="006A5099">
        <w:rPr>
          <w:rFonts w:ascii="Segoe UI" w:eastAsia="Times New Roman" w:hAnsi="Segoe UI" w:cs="Segoe UI"/>
          <w:bCs/>
          <w:sz w:val="20"/>
          <w:szCs w:val="20"/>
          <w:lang w:eastAsia="pt-BR"/>
        </w:rPr>
        <w:t xml:space="preserve">constante </w:t>
      </w:r>
      <w:r w:rsidR="00A61A19" w:rsidRPr="006A5099">
        <w:rPr>
          <w:rFonts w:ascii="Segoe UI" w:eastAsia="Times New Roman" w:hAnsi="Segoe UI" w:cs="Segoe UI"/>
          <w:bCs/>
          <w:sz w:val="20"/>
          <w:szCs w:val="20"/>
          <w:lang w:eastAsia="pt-BR"/>
        </w:rPr>
        <w:t xml:space="preserve">no </w:t>
      </w:r>
      <w:r w:rsidR="00A91060" w:rsidRPr="006A5099">
        <w:rPr>
          <w:rFonts w:ascii="Segoe UI" w:eastAsia="Times New Roman" w:hAnsi="Segoe UI" w:cs="Segoe UI"/>
          <w:bCs/>
          <w:sz w:val="20"/>
          <w:szCs w:val="20"/>
          <w:lang w:eastAsia="pt-BR"/>
        </w:rPr>
        <w:t>A</w:t>
      </w:r>
      <w:r w:rsidR="00A61A19" w:rsidRPr="006A5099">
        <w:rPr>
          <w:rFonts w:ascii="Segoe UI" w:eastAsia="Times New Roman" w:hAnsi="Segoe UI" w:cs="Segoe UI"/>
          <w:bCs/>
          <w:sz w:val="20"/>
          <w:szCs w:val="20"/>
          <w:lang w:eastAsia="pt-BR"/>
        </w:rPr>
        <w:t>nexo</w:t>
      </w:r>
      <w:r w:rsidRPr="006A5099">
        <w:rPr>
          <w:rFonts w:ascii="Segoe UI" w:eastAsia="Times New Roman" w:hAnsi="Segoe UI" w:cs="Segoe UI"/>
          <w:bCs/>
          <w:sz w:val="20"/>
          <w:szCs w:val="20"/>
          <w:lang w:eastAsia="pt-BR"/>
        </w:rPr>
        <w:t>)</w:t>
      </w:r>
      <w:r w:rsidR="000A2305" w:rsidRPr="006A5099">
        <w:rPr>
          <w:rFonts w:ascii="Segoe UI" w:eastAsia="Times New Roman" w:hAnsi="Segoe UI" w:cs="Segoe UI"/>
          <w:bCs/>
          <w:sz w:val="20"/>
          <w:szCs w:val="20"/>
          <w:lang w:eastAsia="pt-BR"/>
        </w:rPr>
        <w:t>,</w:t>
      </w:r>
      <w:r w:rsidRPr="00DB0986">
        <w:rPr>
          <w:rFonts w:ascii="Segoe UI" w:eastAsia="Times New Roman" w:hAnsi="Segoe UI" w:cs="Segoe UI"/>
          <w:bCs/>
          <w:sz w:val="20"/>
          <w:szCs w:val="20"/>
          <w:lang w:eastAsia="pt-BR"/>
        </w:rPr>
        <w:t xml:space="preserve"> multiplicado</w:t>
      </w:r>
      <w:r w:rsidRPr="00E264FE">
        <w:rPr>
          <w:rFonts w:ascii="Segoe UI" w:eastAsia="Times New Roman" w:hAnsi="Segoe UI" w:cs="Segoe UI"/>
          <w:bCs/>
          <w:sz w:val="20"/>
          <w:szCs w:val="20"/>
          <w:lang w:eastAsia="pt-BR"/>
        </w:rPr>
        <w:t xml:space="preserve"> pelo Target (Multiplicador do Valor de Referência, definido para cada Grupo de Funções)</w:t>
      </w:r>
      <w:r w:rsidR="000A2305" w:rsidRPr="00E264FE">
        <w:rPr>
          <w:rFonts w:ascii="Segoe UI" w:eastAsia="Times New Roman" w:hAnsi="Segoe UI" w:cs="Segoe UI"/>
          <w:bCs/>
          <w:sz w:val="20"/>
          <w:szCs w:val="20"/>
          <w:lang w:eastAsia="pt-BR"/>
        </w:rPr>
        <w:t>,</w:t>
      </w:r>
      <w:r w:rsidRPr="00E264FE">
        <w:rPr>
          <w:rFonts w:ascii="Segoe UI" w:eastAsia="Times New Roman" w:hAnsi="Segoe UI" w:cs="Segoe UI"/>
          <w:bCs/>
          <w:sz w:val="20"/>
          <w:szCs w:val="20"/>
          <w:lang w:eastAsia="pt-BR"/>
        </w:rPr>
        <w:t xml:space="preserve"> multiplicado pelo </w:t>
      </w:r>
      <w:r w:rsidR="00C114C7">
        <w:rPr>
          <w:rFonts w:ascii="Segoe UI" w:eastAsia="Times New Roman" w:hAnsi="Segoe UI" w:cs="Segoe UI"/>
          <w:bCs/>
          <w:sz w:val="20"/>
          <w:szCs w:val="20"/>
          <w:lang w:eastAsia="pt-BR"/>
        </w:rPr>
        <w:t xml:space="preserve">Régua de </w:t>
      </w:r>
      <w:r w:rsidRPr="00E264FE">
        <w:rPr>
          <w:rFonts w:ascii="Segoe UI" w:eastAsia="Times New Roman" w:hAnsi="Segoe UI" w:cs="Segoe UI"/>
          <w:bCs/>
          <w:sz w:val="20"/>
          <w:szCs w:val="20"/>
          <w:lang w:eastAsia="pt-BR"/>
        </w:rPr>
        <w:t>Atingimento da Meta (Resultados atingidos e Régua de Multiplicação).</w:t>
      </w:r>
    </w:p>
    <w:tbl>
      <w:tblPr>
        <w:tblW w:w="0" w:type="auto"/>
        <w:tblLook w:val="04A0" w:firstRow="1" w:lastRow="0" w:firstColumn="1" w:lastColumn="0" w:noHBand="0" w:noVBand="1"/>
      </w:tblPr>
      <w:tblGrid>
        <w:gridCol w:w="2078"/>
        <w:gridCol w:w="353"/>
        <w:gridCol w:w="1931"/>
        <w:gridCol w:w="308"/>
        <w:gridCol w:w="783"/>
        <w:gridCol w:w="334"/>
        <w:gridCol w:w="2988"/>
      </w:tblGrid>
      <w:tr w:rsidR="009F5FE7" w:rsidRPr="009F5FE7" w14:paraId="3E6F1C80" w14:textId="77777777" w:rsidTr="00240E8B">
        <w:tc>
          <w:tcPr>
            <w:tcW w:w="0" w:type="auto"/>
            <w:shd w:val="clear" w:color="auto" w:fill="auto"/>
          </w:tcPr>
          <w:p w14:paraId="402173D1" w14:textId="77777777" w:rsidR="000F1755" w:rsidRPr="009F5FE7" w:rsidRDefault="000F1755" w:rsidP="006A6F4D">
            <w:pPr>
              <w:spacing w:after="200" w:line="240" w:lineRule="auto"/>
              <w:jc w:val="center"/>
              <w:rPr>
                <w:rFonts w:ascii="Segoe UI" w:eastAsia="Times New Roman" w:hAnsi="Segoe UI" w:cs="Segoe UI"/>
                <w:bCs/>
                <w:color w:val="000000" w:themeColor="text1"/>
                <w:sz w:val="20"/>
                <w:szCs w:val="20"/>
                <w:lang w:eastAsia="pt-BR"/>
              </w:rPr>
            </w:pPr>
            <w:r w:rsidRPr="009F5FE7">
              <w:rPr>
                <w:rFonts w:ascii="Segoe UI" w:eastAsia="Times New Roman" w:hAnsi="Segoe UI" w:cs="Segoe UI"/>
                <w:bCs/>
                <w:color w:val="000000" w:themeColor="text1"/>
                <w:sz w:val="20"/>
                <w:szCs w:val="20"/>
                <w:lang w:eastAsia="pt-BR"/>
              </w:rPr>
              <w:t>Valor da Participação</w:t>
            </w:r>
          </w:p>
        </w:tc>
        <w:tc>
          <w:tcPr>
            <w:tcW w:w="0" w:type="auto"/>
            <w:shd w:val="clear" w:color="auto" w:fill="auto"/>
          </w:tcPr>
          <w:p w14:paraId="5E64F31A" w14:textId="77777777" w:rsidR="000F1755" w:rsidRPr="009F5FE7" w:rsidRDefault="000F1755" w:rsidP="00C114C7">
            <w:pPr>
              <w:spacing w:after="200" w:line="240" w:lineRule="auto"/>
              <w:rPr>
                <w:rFonts w:ascii="Segoe UI" w:eastAsia="Times New Roman" w:hAnsi="Segoe UI" w:cs="Segoe UI"/>
                <w:bCs/>
                <w:color w:val="000000" w:themeColor="text1"/>
                <w:sz w:val="20"/>
                <w:szCs w:val="20"/>
                <w:lang w:eastAsia="pt-BR"/>
              </w:rPr>
            </w:pPr>
            <w:r w:rsidRPr="009F5FE7">
              <w:rPr>
                <w:rFonts w:ascii="Segoe UI" w:eastAsia="Times New Roman" w:hAnsi="Segoe UI" w:cs="Segoe UI"/>
                <w:bCs/>
                <w:color w:val="000000" w:themeColor="text1"/>
                <w:sz w:val="20"/>
                <w:szCs w:val="20"/>
                <w:lang w:eastAsia="pt-BR"/>
              </w:rPr>
              <w:t>=</w:t>
            </w:r>
          </w:p>
        </w:tc>
        <w:tc>
          <w:tcPr>
            <w:tcW w:w="0" w:type="auto"/>
            <w:shd w:val="clear" w:color="auto" w:fill="auto"/>
          </w:tcPr>
          <w:p w14:paraId="61CF0A41" w14:textId="77777777" w:rsidR="000F1755" w:rsidRPr="009F5FE7" w:rsidRDefault="000F1755" w:rsidP="006A6F4D">
            <w:pPr>
              <w:spacing w:after="200" w:line="240" w:lineRule="auto"/>
              <w:jc w:val="center"/>
              <w:rPr>
                <w:rFonts w:ascii="Segoe UI" w:eastAsia="Times New Roman" w:hAnsi="Segoe UI" w:cs="Segoe UI"/>
                <w:bCs/>
                <w:color w:val="000000" w:themeColor="text1"/>
                <w:sz w:val="20"/>
                <w:szCs w:val="20"/>
                <w:lang w:eastAsia="pt-BR"/>
              </w:rPr>
            </w:pPr>
            <w:r w:rsidRPr="009F5FE7">
              <w:rPr>
                <w:rFonts w:ascii="Segoe UI" w:eastAsia="Times New Roman" w:hAnsi="Segoe UI" w:cs="Segoe UI"/>
                <w:bCs/>
                <w:color w:val="000000" w:themeColor="text1"/>
                <w:sz w:val="20"/>
                <w:szCs w:val="20"/>
                <w:lang w:eastAsia="pt-BR"/>
              </w:rPr>
              <w:t>Valor de Referência</w:t>
            </w:r>
          </w:p>
        </w:tc>
        <w:tc>
          <w:tcPr>
            <w:tcW w:w="0" w:type="auto"/>
            <w:shd w:val="clear" w:color="auto" w:fill="auto"/>
          </w:tcPr>
          <w:p w14:paraId="5EC94956" w14:textId="77777777" w:rsidR="000F1755" w:rsidRPr="009F5FE7" w:rsidRDefault="000F1755" w:rsidP="00C114C7">
            <w:pPr>
              <w:spacing w:after="200" w:line="240" w:lineRule="auto"/>
              <w:rPr>
                <w:rFonts w:ascii="Segoe UI" w:eastAsia="Times New Roman" w:hAnsi="Segoe UI" w:cs="Segoe UI"/>
                <w:bCs/>
                <w:color w:val="000000" w:themeColor="text1"/>
                <w:sz w:val="20"/>
                <w:szCs w:val="20"/>
                <w:lang w:eastAsia="pt-BR"/>
              </w:rPr>
            </w:pPr>
            <w:r w:rsidRPr="009F5FE7">
              <w:rPr>
                <w:rFonts w:ascii="Segoe UI" w:eastAsia="Times New Roman" w:hAnsi="Segoe UI" w:cs="Segoe UI"/>
                <w:bCs/>
                <w:color w:val="000000" w:themeColor="text1"/>
                <w:sz w:val="20"/>
                <w:szCs w:val="20"/>
                <w:lang w:eastAsia="pt-BR"/>
              </w:rPr>
              <w:t>x</w:t>
            </w:r>
          </w:p>
        </w:tc>
        <w:tc>
          <w:tcPr>
            <w:tcW w:w="0" w:type="auto"/>
            <w:shd w:val="clear" w:color="auto" w:fill="auto"/>
          </w:tcPr>
          <w:p w14:paraId="6B0F4D65" w14:textId="77777777" w:rsidR="000F1755" w:rsidRPr="009F5FE7" w:rsidRDefault="000F1755" w:rsidP="00C114C7">
            <w:pPr>
              <w:spacing w:after="200" w:line="240" w:lineRule="auto"/>
              <w:rPr>
                <w:rFonts w:ascii="Segoe UI" w:eastAsia="Times New Roman" w:hAnsi="Segoe UI" w:cs="Segoe UI"/>
                <w:bCs/>
                <w:color w:val="000000" w:themeColor="text1"/>
                <w:sz w:val="20"/>
                <w:szCs w:val="20"/>
                <w:lang w:eastAsia="pt-BR"/>
              </w:rPr>
            </w:pPr>
            <w:r w:rsidRPr="009F5FE7">
              <w:rPr>
                <w:rFonts w:ascii="Segoe UI" w:eastAsia="Times New Roman" w:hAnsi="Segoe UI" w:cs="Segoe UI"/>
                <w:bCs/>
                <w:color w:val="000000" w:themeColor="text1"/>
                <w:sz w:val="20"/>
                <w:szCs w:val="20"/>
                <w:lang w:eastAsia="pt-BR"/>
              </w:rPr>
              <w:t>Target</w:t>
            </w:r>
          </w:p>
        </w:tc>
        <w:tc>
          <w:tcPr>
            <w:tcW w:w="0" w:type="auto"/>
            <w:shd w:val="clear" w:color="auto" w:fill="auto"/>
          </w:tcPr>
          <w:p w14:paraId="4518FDC6" w14:textId="77777777" w:rsidR="000F1755" w:rsidRPr="009F5FE7" w:rsidRDefault="000F1755" w:rsidP="00C114C7">
            <w:pPr>
              <w:spacing w:after="200" w:line="240" w:lineRule="auto"/>
              <w:rPr>
                <w:rFonts w:ascii="Segoe UI" w:eastAsia="Times New Roman" w:hAnsi="Segoe UI" w:cs="Segoe UI"/>
                <w:bCs/>
                <w:color w:val="000000" w:themeColor="text1"/>
                <w:sz w:val="20"/>
                <w:szCs w:val="20"/>
                <w:lang w:eastAsia="pt-BR"/>
              </w:rPr>
            </w:pPr>
            <w:r w:rsidRPr="009F5FE7">
              <w:rPr>
                <w:rFonts w:ascii="Segoe UI" w:eastAsia="Times New Roman" w:hAnsi="Segoe UI" w:cs="Segoe UI"/>
                <w:bCs/>
                <w:color w:val="000000" w:themeColor="text1"/>
                <w:sz w:val="20"/>
                <w:szCs w:val="20"/>
                <w:lang w:eastAsia="pt-BR"/>
              </w:rPr>
              <w:t>X</w:t>
            </w:r>
          </w:p>
        </w:tc>
        <w:tc>
          <w:tcPr>
            <w:tcW w:w="0" w:type="auto"/>
            <w:shd w:val="clear" w:color="auto" w:fill="auto"/>
          </w:tcPr>
          <w:p w14:paraId="6ACC65ED" w14:textId="57CE04F3" w:rsidR="000F1755" w:rsidRPr="009F5FE7" w:rsidRDefault="00C114C7" w:rsidP="006A6F4D">
            <w:pPr>
              <w:spacing w:after="200" w:line="240" w:lineRule="auto"/>
              <w:jc w:val="center"/>
              <w:rPr>
                <w:rFonts w:ascii="Segoe UI" w:eastAsia="Times New Roman" w:hAnsi="Segoe UI" w:cs="Segoe UI"/>
                <w:bCs/>
                <w:color w:val="000000" w:themeColor="text1"/>
                <w:sz w:val="20"/>
                <w:szCs w:val="20"/>
                <w:lang w:eastAsia="pt-BR"/>
              </w:rPr>
            </w:pPr>
            <w:r w:rsidRPr="009F5FE7">
              <w:rPr>
                <w:rFonts w:ascii="Segoe UI" w:eastAsia="Times New Roman" w:hAnsi="Segoe UI" w:cs="Segoe UI"/>
                <w:bCs/>
                <w:color w:val="000000" w:themeColor="text1"/>
                <w:sz w:val="20"/>
                <w:szCs w:val="20"/>
                <w:lang w:eastAsia="pt-BR"/>
              </w:rPr>
              <w:t xml:space="preserve">Régua de </w:t>
            </w:r>
            <w:r w:rsidR="000F1755" w:rsidRPr="009F5FE7">
              <w:rPr>
                <w:rFonts w:ascii="Segoe UI" w:eastAsia="Times New Roman" w:hAnsi="Segoe UI" w:cs="Segoe UI"/>
                <w:bCs/>
                <w:color w:val="000000" w:themeColor="text1"/>
                <w:sz w:val="20"/>
                <w:szCs w:val="20"/>
                <w:lang w:eastAsia="pt-BR"/>
              </w:rPr>
              <w:t>Atingimento da Meta</w:t>
            </w:r>
          </w:p>
        </w:tc>
      </w:tr>
    </w:tbl>
    <w:p w14:paraId="78B5C09D" w14:textId="16395229" w:rsidR="00A61A19" w:rsidRPr="009F5FE7" w:rsidRDefault="00B9394C" w:rsidP="00E92753">
      <w:pPr>
        <w:pStyle w:val="Recuodecorpodetexto"/>
        <w:spacing w:after="200"/>
        <w:ind w:firstLine="0"/>
        <w:rPr>
          <w:rFonts w:ascii="Segoe UI" w:hAnsi="Segoe UI" w:cs="Segoe UI"/>
          <w:bCs/>
          <w:color w:val="000000" w:themeColor="text1"/>
          <w:sz w:val="20"/>
        </w:rPr>
      </w:pPr>
      <w:r w:rsidRPr="009F5FE7">
        <w:rPr>
          <w:rFonts w:ascii="Segoe UI" w:hAnsi="Segoe UI" w:cs="Segoe UI"/>
          <w:bCs/>
          <w:color w:val="000000" w:themeColor="text1"/>
          <w:sz w:val="20"/>
        </w:rPr>
        <w:t xml:space="preserve">Parágrafo primeiro: </w:t>
      </w:r>
      <w:r w:rsidR="00A61A19" w:rsidRPr="009F5FE7">
        <w:rPr>
          <w:rFonts w:ascii="Segoe UI" w:hAnsi="Segoe UI" w:cs="Segoe UI"/>
          <w:bCs/>
          <w:color w:val="000000" w:themeColor="text1"/>
          <w:sz w:val="20"/>
        </w:rPr>
        <w:t>Os empregados que não tiverem atingi</w:t>
      </w:r>
      <w:r w:rsidR="000C079B" w:rsidRPr="009F5FE7">
        <w:rPr>
          <w:rFonts w:ascii="Segoe UI" w:hAnsi="Segoe UI" w:cs="Segoe UI"/>
          <w:bCs/>
          <w:color w:val="000000" w:themeColor="text1"/>
          <w:sz w:val="20"/>
        </w:rPr>
        <w:t>do a meta mínima individual</w:t>
      </w:r>
      <w:r w:rsidR="0050505F" w:rsidRPr="009F5FE7">
        <w:rPr>
          <w:rFonts w:ascii="Segoe UI" w:hAnsi="Segoe UI" w:cs="Segoe UI"/>
          <w:bCs/>
          <w:color w:val="000000" w:themeColor="text1"/>
          <w:sz w:val="20"/>
        </w:rPr>
        <w:t xml:space="preserve">, </w:t>
      </w:r>
      <w:r w:rsidR="009F5FE7" w:rsidRPr="009F5FE7">
        <w:rPr>
          <w:rFonts w:ascii="Segoe UI" w:hAnsi="Segoe UI" w:cs="Segoe UI"/>
          <w:bCs/>
          <w:color w:val="000000" w:themeColor="text1"/>
          <w:sz w:val="20"/>
        </w:rPr>
        <w:t>nos casos em que o</w:t>
      </w:r>
      <w:r w:rsidR="0050505F" w:rsidRPr="009F5FE7">
        <w:rPr>
          <w:rFonts w:ascii="Segoe UI" w:hAnsi="Segoe UI" w:cs="Segoe UI"/>
          <w:bCs/>
          <w:color w:val="000000" w:themeColor="text1"/>
          <w:sz w:val="20"/>
        </w:rPr>
        <w:t xml:space="preserve"> Banco tenha atingido Gatilho do Lucro Líquido </w:t>
      </w:r>
      <w:r w:rsidR="00A4140A" w:rsidRPr="009F5FE7">
        <w:rPr>
          <w:rFonts w:ascii="Segoe UI" w:hAnsi="Segoe UI" w:cs="Segoe UI"/>
          <w:bCs/>
          <w:color w:val="000000" w:themeColor="text1"/>
          <w:sz w:val="20"/>
        </w:rPr>
        <w:t>R</w:t>
      </w:r>
      <w:r w:rsidR="0050505F" w:rsidRPr="009F5FE7">
        <w:rPr>
          <w:rFonts w:ascii="Segoe UI" w:hAnsi="Segoe UI" w:cs="Segoe UI"/>
          <w:bCs/>
          <w:color w:val="000000" w:themeColor="text1"/>
          <w:sz w:val="20"/>
        </w:rPr>
        <w:t xml:space="preserve">ecorrente </w:t>
      </w:r>
      <w:r w:rsidR="009F5FE7" w:rsidRPr="009F5FE7">
        <w:rPr>
          <w:rFonts w:ascii="Segoe UI" w:hAnsi="Segoe UI" w:cs="Segoe UI"/>
          <w:bCs/>
          <w:color w:val="000000" w:themeColor="text1"/>
          <w:sz w:val="20"/>
        </w:rPr>
        <w:t xml:space="preserve">a partir da faixa </w:t>
      </w:r>
      <w:r w:rsidR="00DF483E">
        <w:rPr>
          <w:rFonts w:ascii="Segoe UI" w:hAnsi="Segoe UI" w:cs="Segoe UI"/>
          <w:bCs/>
          <w:color w:val="000000" w:themeColor="text1"/>
          <w:sz w:val="20"/>
        </w:rPr>
        <w:t>3</w:t>
      </w:r>
      <w:r w:rsidR="0050505F" w:rsidRPr="009F5FE7">
        <w:rPr>
          <w:rFonts w:ascii="Segoe UI" w:hAnsi="Segoe UI" w:cs="Segoe UI"/>
          <w:bCs/>
          <w:color w:val="000000" w:themeColor="text1"/>
          <w:sz w:val="20"/>
        </w:rPr>
        <w:t>,</w:t>
      </w:r>
      <w:r w:rsidR="000C079B" w:rsidRPr="009F5FE7">
        <w:rPr>
          <w:rFonts w:ascii="Segoe UI" w:hAnsi="Segoe UI" w:cs="Segoe UI"/>
          <w:bCs/>
          <w:color w:val="000000" w:themeColor="text1"/>
          <w:sz w:val="20"/>
        </w:rPr>
        <w:t xml:space="preserve"> receberão o </w:t>
      </w:r>
      <w:r w:rsidR="000C079B" w:rsidRPr="0074488D">
        <w:rPr>
          <w:rFonts w:ascii="Segoe UI" w:hAnsi="Segoe UI" w:cs="Segoe UI"/>
          <w:bCs/>
          <w:color w:val="000000" w:themeColor="text1"/>
          <w:sz w:val="20"/>
        </w:rPr>
        <w:t xml:space="preserve">Valor </w:t>
      </w:r>
      <w:r w:rsidRPr="0074488D">
        <w:rPr>
          <w:rFonts w:ascii="Segoe UI" w:hAnsi="Segoe UI" w:cs="Segoe UI"/>
          <w:bCs/>
          <w:color w:val="000000" w:themeColor="text1"/>
          <w:sz w:val="20"/>
        </w:rPr>
        <w:t>Básico de Participação de R$ 1.200,00 (mil e duzentos reais), de forma linear,</w:t>
      </w:r>
      <w:r w:rsidRPr="0074488D">
        <w:rPr>
          <w:bCs/>
          <w:color w:val="000000" w:themeColor="text1"/>
        </w:rPr>
        <w:t xml:space="preserve"> </w:t>
      </w:r>
      <w:r w:rsidRPr="0074488D">
        <w:rPr>
          <w:rFonts w:ascii="Segoe UI" w:hAnsi="Segoe UI" w:cs="Segoe UI"/>
          <w:bCs/>
          <w:color w:val="000000" w:themeColor="text1"/>
          <w:sz w:val="20"/>
        </w:rPr>
        <w:t>proporcional ao te</w:t>
      </w:r>
      <w:r w:rsidRPr="009F5FE7">
        <w:rPr>
          <w:rFonts w:ascii="Segoe UI" w:hAnsi="Segoe UI" w:cs="Segoe UI"/>
          <w:color w:val="000000" w:themeColor="text1"/>
          <w:sz w:val="20"/>
        </w:rPr>
        <w:t>mpo efetivamente trabalhado, à razão de 1/12 (um doze avos) por mês trabalhado ou fração igual ou superior a 15 (quinze) dias, independentemente de qualquer outro critério</w:t>
      </w:r>
      <w:r w:rsidR="009F5FE7" w:rsidRPr="009F5FE7">
        <w:rPr>
          <w:rFonts w:ascii="Segoe UI" w:hAnsi="Segoe UI" w:cs="Segoe UI"/>
          <w:color w:val="000000" w:themeColor="text1"/>
          <w:sz w:val="20"/>
        </w:rPr>
        <w:t>, não se lhes aplicando a tabela constante da Cláusula Sexta – Do Fator Condicionante/Gatilho</w:t>
      </w:r>
      <w:r w:rsidRPr="009F5FE7">
        <w:rPr>
          <w:rFonts w:ascii="Segoe UI" w:hAnsi="Segoe UI" w:cs="Segoe UI"/>
          <w:color w:val="000000" w:themeColor="text1"/>
          <w:sz w:val="20"/>
        </w:rPr>
        <w:t>.</w:t>
      </w:r>
      <w:r w:rsidR="000855C9">
        <w:rPr>
          <w:rFonts w:ascii="Segoe UI" w:hAnsi="Segoe UI" w:cs="Segoe UI"/>
          <w:color w:val="000000" w:themeColor="text1"/>
          <w:sz w:val="20"/>
        </w:rPr>
        <w:t xml:space="preserve"> </w:t>
      </w:r>
    </w:p>
    <w:p w14:paraId="521A35D7" w14:textId="20E7E7ED" w:rsidR="006A5099" w:rsidRPr="006A5099" w:rsidRDefault="006A5099" w:rsidP="006A5099">
      <w:pPr>
        <w:pStyle w:val="Recuodecorpodetexto2"/>
        <w:spacing w:after="200"/>
        <w:ind w:firstLine="0"/>
        <w:rPr>
          <w:rFonts w:ascii="Segoe UI" w:hAnsi="Segoe UI" w:cs="Segoe UI"/>
          <w:sz w:val="20"/>
        </w:rPr>
      </w:pPr>
      <w:bookmarkStart w:id="1" w:name="_Hlk183456957"/>
      <w:r>
        <w:rPr>
          <w:rFonts w:ascii="Segoe UI" w:hAnsi="Segoe UI" w:cs="Segoe UI"/>
          <w:sz w:val="20"/>
        </w:rPr>
        <w:t>Parágrafo segundo – O</w:t>
      </w:r>
      <w:r w:rsidRPr="006A5099">
        <w:rPr>
          <w:rFonts w:ascii="Segoe UI" w:hAnsi="Segoe UI" w:cs="Segoe UI"/>
          <w:sz w:val="20"/>
        </w:rPr>
        <w:t xml:space="preserve"> Valor de Referência é composto por:</w:t>
      </w:r>
    </w:p>
    <w:p w14:paraId="5E5482D0" w14:textId="77777777" w:rsidR="006A5099" w:rsidRDefault="006A5099" w:rsidP="006A5099">
      <w:pPr>
        <w:pStyle w:val="PargrafodaLista"/>
        <w:numPr>
          <w:ilvl w:val="0"/>
          <w:numId w:val="12"/>
        </w:numPr>
        <w:spacing w:after="200" w:line="240" w:lineRule="auto"/>
        <w:contextualSpacing w:val="0"/>
        <w:jc w:val="both"/>
        <w:rPr>
          <w:rFonts w:ascii="Segoe UI" w:eastAsia="Times New Roman" w:hAnsi="Segoe UI" w:cs="Segoe UI"/>
          <w:sz w:val="20"/>
          <w:szCs w:val="20"/>
          <w:lang w:eastAsia="pt-BR"/>
        </w:rPr>
      </w:pPr>
      <w:r w:rsidRPr="006A5099">
        <w:rPr>
          <w:rFonts w:ascii="Segoe UI" w:eastAsia="Times New Roman" w:hAnsi="Segoe UI" w:cs="Segoe UI"/>
          <w:sz w:val="20"/>
          <w:szCs w:val="20"/>
          <w:lang w:eastAsia="pt-BR"/>
        </w:rPr>
        <w:t xml:space="preserve">Valor Básico: para todos os empregados, </w:t>
      </w:r>
      <w:r w:rsidRPr="0074488D">
        <w:rPr>
          <w:rFonts w:ascii="Segoe UI" w:eastAsia="Times New Roman" w:hAnsi="Segoe UI" w:cs="Segoe UI"/>
          <w:sz w:val="20"/>
          <w:szCs w:val="20"/>
          <w:lang w:eastAsia="pt-BR"/>
        </w:rPr>
        <w:t>no valor fixo de R$ 3.874,64 (três</w:t>
      </w:r>
      <w:r w:rsidRPr="006A5099">
        <w:rPr>
          <w:rFonts w:ascii="Segoe UI" w:eastAsia="Times New Roman" w:hAnsi="Segoe UI" w:cs="Segoe UI"/>
          <w:sz w:val="20"/>
          <w:szCs w:val="20"/>
          <w:lang w:eastAsia="pt-BR"/>
        </w:rPr>
        <w:t xml:space="preserve"> mil oitocentos e setenta e quatro reais e sessenta e quatro centavos).</w:t>
      </w:r>
    </w:p>
    <w:p w14:paraId="776ACB91" w14:textId="77777777" w:rsidR="006A5099" w:rsidRDefault="006A5099" w:rsidP="006A5099">
      <w:pPr>
        <w:pStyle w:val="PargrafodaLista"/>
        <w:numPr>
          <w:ilvl w:val="0"/>
          <w:numId w:val="12"/>
        </w:numPr>
        <w:spacing w:after="200" w:line="240" w:lineRule="auto"/>
        <w:contextualSpacing w:val="0"/>
        <w:jc w:val="both"/>
        <w:rPr>
          <w:rFonts w:ascii="Segoe UI" w:eastAsia="Times New Roman" w:hAnsi="Segoe UI" w:cs="Segoe UI"/>
          <w:sz w:val="20"/>
          <w:szCs w:val="20"/>
          <w:lang w:eastAsia="pt-BR"/>
        </w:rPr>
      </w:pPr>
      <w:r w:rsidRPr="006A5099">
        <w:rPr>
          <w:rFonts w:ascii="Segoe UI" w:eastAsia="Times New Roman" w:hAnsi="Segoe UI" w:cs="Segoe UI"/>
          <w:sz w:val="20"/>
          <w:szCs w:val="20"/>
          <w:lang w:eastAsia="pt-BR"/>
        </w:rPr>
        <w:t>Comissão Fixa / Emprego em Comissão / Gratificação da Cláusula 1º CCT Aditiva: para os empregados que exercem empregos em comissão, funções de confiança ou enquadrados na hipótese da Cláusula 7ª da CCT Relações Sindicais, conforme o nível de comissão ou gratificação correspondente à Cláusula 1ª CCT Aditiva, excluídas quaisquer outras verbas, inclusive o ADI;</w:t>
      </w:r>
    </w:p>
    <w:p w14:paraId="58E33D49" w14:textId="6BDDC4A9" w:rsidR="006A5099" w:rsidRPr="006A5099" w:rsidRDefault="006A5099" w:rsidP="006A5099">
      <w:pPr>
        <w:pStyle w:val="PargrafodaLista"/>
        <w:numPr>
          <w:ilvl w:val="0"/>
          <w:numId w:val="12"/>
        </w:numPr>
        <w:spacing w:after="200" w:line="240" w:lineRule="auto"/>
        <w:contextualSpacing w:val="0"/>
        <w:jc w:val="both"/>
        <w:rPr>
          <w:rFonts w:ascii="Segoe UI" w:eastAsia="Times New Roman" w:hAnsi="Segoe UI" w:cs="Segoe UI"/>
          <w:sz w:val="20"/>
          <w:szCs w:val="20"/>
          <w:lang w:eastAsia="pt-BR"/>
        </w:rPr>
      </w:pPr>
      <w:r w:rsidRPr="006A5099">
        <w:rPr>
          <w:rFonts w:ascii="Segoe UI" w:eastAsia="Times New Roman" w:hAnsi="Segoe UI" w:cs="Segoe UI"/>
          <w:sz w:val="20"/>
          <w:szCs w:val="20"/>
          <w:lang w:eastAsia="pt-BR"/>
        </w:rPr>
        <w:t xml:space="preserve">Gratificação de Operador de Negócios: para </w:t>
      </w:r>
      <w:r w:rsidRPr="0074488D">
        <w:rPr>
          <w:rFonts w:ascii="Segoe UI" w:eastAsia="Times New Roman" w:hAnsi="Segoe UI" w:cs="Segoe UI"/>
          <w:sz w:val="20"/>
          <w:szCs w:val="20"/>
          <w:lang w:eastAsia="pt-BR"/>
        </w:rPr>
        <w:t>os Operadores de Negócios no valor de R$ 1.178,57 (mil cento e setenta e oito reais com cinquenta e sete centavos), correspondente</w:t>
      </w:r>
      <w:r w:rsidR="00C22669" w:rsidRPr="0074488D">
        <w:rPr>
          <w:rFonts w:ascii="Segoe UI" w:eastAsia="Times New Roman" w:hAnsi="Segoe UI" w:cs="Segoe UI"/>
          <w:sz w:val="20"/>
          <w:szCs w:val="20"/>
          <w:lang w:eastAsia="pt-BR"/>
        </w:rPr>
        <w:t xml:space="preserve">  </w:t>
      </w:r>
      <w:r w:rsidRPr="0074488D">
        <w:rPr>
          <w:rFonts w:ascii="Segoe UI" w:eastAsia="Times New Roman" w:hAnsi="Segoe UI" w:cs="Segoe UI"/>
          <w:sz w:val="20"/>
          <w:szCs w:val="20"/>
          <w:lang w:eastAsia="pt-BR"/>
        </w:rPr>
        <w:t xml:space="preserve"> a 1,5 vezes o valor de Gratificação de Operador de Negócios no Valor de R$ 785,71 (setecentos</w:t>
      </w:r>
      <w:r w:rsidRPr="006A5099">
        <w:rPr>
          <w:rFonts w:ascii="Segoe UI" w:eastAsia="Times New Roman" w:hAnsi="Segoe UI" w:cs="Segoe UI"/>
          <w:sz w:val="20"/>
          <w:szCs w:val="20"/>
          <w:lang w:eastAsia="pt-BR"/>
        </w:rPr>
        <w:t xml:space="preserve"> e oitenta e cinco reais e setenta e um centavos);</w:t>
      </w:r>
    </w:p>
    <w:p w14:paraId="20B305DE" w14:textId="4765F167" w:rsidR="006A5099" w:rsidRPr="006A5099" w:rsidRDefault="006A5099" w:rsidP="006A5099">
      <w:pPr>
        <w:spacing w:after="200" w:line="240" w:lineRule="auto"/>
        <w:jc w:val="both"/>
        <w:rPr>
          <w:rFonts w:ascii="Segoe UI" w:eastAsia="Times New Roman" w:hAnsi="Segoe UI" w:cs="Segoe UI"/>
          <w:sz w:val="20"/>
          <w:szCs w:val="20"/>
          <w:lang w:eastAsia="pt-BR"/>
        </w:rPr>
      </w:pPr>
      <w:r>
        <w:rPr>
          <w:rFonts w:ascii="Segoe UI" w:eastAsia="Times New Roman" w:hAnsi="Segoe UI" w:cs="Segoe UI"/>
          <w:sz w:val="20"/>
          <w:szCs w:val="20"/>
          <w:lang w:eastAsia="pt-BR"/>
        </w:rPr>
        <w:t>Parágrafo terceiro – N</w:t>
      </w:r>
      <w:r w:rsidRPr="006A5099">
        <w:rPr>
          <w:rFonts w:ascii="Segoe UI" w:eastAsia="Times New Roman" w:hAnsi="Segoe UI" w:cs="Segoe UI"/>
          <w:sz w:val="20"/>
          <w:szCs w:val="20"/>
          <w:lang w:eastAsia="pt-BR"/>
        </w:rPr>
        <w:t>ão será admitida, em qualquer hipótese, a ampliação das bases de composição do Valor de Referência.</w:t>
      </w:r>
    </w:p>
    <w:p w14:paraId="44FE025D" w14:textId="313C886B" w:rsidR="0076182B" w:rsidRPr="0076182B" w:rsidRDefault="0002425B" w:rsidP="0076182B">
      <w:pPr>
        <w:spacing w:after="200" w:line="240" w:lineRule="auto"/>
        <w:jc w:val="both"/>
        <w:rPr>
          <w:rFonts w:ascii="Segoe UI" w:hAnsi="Segoe UI" w:cs="Segoe UI"/>
          <w:sz w:val="20"/>
          <w:szCs w:val="20"/>
        </w:rPr>
      </w:pPr>
      <w:r>
        <w:rPr>
          <w:rFonts w:ascii="Segoe UI" w:hAnsi="Segoe UI" w:cs="Segoe UI"/>
          <w:sz w:val="20"/>
          <w:szCs w:val="20"/>
        </w:rPr>
        <w:t xml:space="preserve"> </w:t>
      </w:r>
      <w:r w:rsidR="0076182B" w:rsidRPr="0076182B">
        <w:rPr>
          <w:rFonts w:ascii="Segoe UI" w:hAnsi="Segoe UI" w:cs="Segoe UI"/>
          <w:sz w:val="20"/>
          <w:szCs w:val="20"/>
        </w:rPr>
        <w:t xml:space="preserve">Parágrafo </w:t>
      </w:r>
      <w:r w:rsidR="006A5099">
        <w:rPr>
          <w:rFonts w:ascii="Segoe UI" w:hAnsi="Segoe UI" w:cs="Segoe UI"/>
          <w:sz w:val="20"/>
          <w:szCs w:val="20"/>
        </w:rPr>
        <w:t xml:space="preserve">quarto – </w:t>
      </w:r>
      <w:r w:rsidR="0076182B" w:rsidRPr="0076182B">
        <w:rPr>
          <w:rFonts w:ascii="Segoe UI" w:hAnsi="Segoe UI" w:cs="Segoe UI"/>
          <w:sz w:val="20"/>
          <w:szCs w:val="20"/>
        </w:rPr>
        <w:t>Para o PPR 2025 se</w:t>
      </w:r>
      <w:r>
        <w:rPr>
          <w:rFonts w:ascii="Segoe UI" w:hAnsi="Segoe UI" w:cs="Segoe UI"/>
          <w:sz w:val="20"/>
          <w:szCs w:val="20"/>
        </w:rPr>
        <w:t>r</w:t>
      </w:r>
      <w:r w:rsidR="008B1D40">
        <w:rPr>
          <w:rFonts w:ascii="Segoe UI" w:hAnsi="Segoe UI" w:cs="Segoe UI"/>
          <w:sz w:val="20"/>
          <w:szCs w:val="20"/>
        </w:rPr>
        <w:t>ão</w:t>
      </w:r>
      <w:r>
        <w:rPr>
          <w:rFonts w:ascii="Segoe UI" w:hAnsi="Segoe UI" w:cs="Segoe UI"/>
          <w:sz w:val="20"/>
          <w:szCs w:val="20"/>
        </w:rPr>
        <w:t xml:space="preserve"> </w:t>
      </w:r>
      <w:r w:rsidR="0076182B" w:rsidRPr="0076182B">
        <w:rPr>
          <w:rFonts w:ascii="Segoe UI" w:hAnsi="Segoe UI" w:cs="Segoe UI"/>
          <w:sz w:val="20"/>
          <w:szCs w:val="20"/>
        </w:rPr>
        <w:t>reajustado</w:t>
      </w:r>
      <w:r w:rsidR="008B1D40">
        <w:rPr>
          <w:rFonts w:ascii="Segoe UI" w:hAnsi="Segoe UI" w:cs="Segoe UI"/>
          <w:sz w:val="20"/>
          <w:szCs w:val="20"/>
        </w:rPr>
        <w:t>s</w:t>
      </w:r>
      <w:r w:rsidR="0076182B" w:rsidRPr="0076182B">
        <w:rPr>
          <w:rFonts w:ascii="Segoe UI" w:hAnsi="Segoe UI" w:cs="Segoe UI"/>
          <w:sz w:val="20"/>
          <w:szCs w:val="20"/>
        </w:rPr>
        <w:t xml:space="preserve"> o</w:t>
      </w:r>
      <w:r w:rsidR="008B1D40">
        <w:rPr>
          <w:rFonts w:ascii="Segoe UI" w:hAnsi="Segoe UI" w:cs="Segoe UI"/>
          <w:sz w:val="20"/>
          <w:szCs w:val="20"/>
        </w:rPr>
        <w:t>s</w:t>
      </w:r>
      <w:r w:rsidR="0076182B" w:rsidRPr="0076182B">
        <w:rPr>
          <w:rFonts w:ascii="Segoe UI" w:hAnsi="Segoe UI" w:cs="Segoe UI"/>
          <w:sz w:val="20"/>
          <w:szCs w:val="20"/>
        </w:rPr>
        <w:t xml:space="preserve"> Valor</w:t>
      </w:r>
      <w:r w:rsidR="008B1D40">
        <w:rPr>
          <w:rFonts w:ascii="Segoe UI" w:hAnsi="Segoe UI" w:cs="Segoe UI"/>
          <w:sz w:val="20"/>
          <w:szCs w:val="20"/>
        </w:rPr>
        <w:t>es</w:t>
      </w:r>
      <w:r w:rsidR="0076182B" w:rsidRPr="0076182B">
        <w:rPr>
          <w:rFonts w:ascii="Segoe UI" w:hAnsi="Segoe UI" w:cs="Segoe UI"/>
          <w:sz w:val="20"/>
          <w:szCs w:val="20"/>
        </w:rPr>
        <w:t xml:space="preserve"> de Referência pelo INPC/IBGE acumulado de setembro de 2024 a agosto de 2025, acrescido do aumento real de 0,6%, conforme estabelecido na </w:t>
      </w:r>
      <w:r w:rsidR="0076182B" w:rsidRPr="00D84F3E">
        <w:rPr>
          <w:rFonts w:ascii="Segoe UI" w:hAnsi="Segoe UI" w:cs="Segoe UI"/>
          <w:sz w:val="20"/>
          <w:szCs w:val="20"/>
        </w:rPr>
        <w:t>Convenção Coletiva de Trabalho 2024/2026</w:t>
      </w:r>
      <w:r w:rsidR="0076182B">
        <w:rPr>
          <w:rFonts w:ascii="Segoe UI" w:hAnsi="Segoe UI" w:cs="Segoe UI"/>
          <w:sz w:val="20"/>
          <w:szCs w:val="20"/>
        </w:rPr>
        <w:t xml:space="preserve">. </w:t>
      </w:r>
    </w:p>
    <w:bookmarkEnd w:id="1"/>
    <w:p w14:paraId="7AB658D5" w14:textId="77777777" w:rsidR="0076182B" w:rsidRPr="00B9394C" w:rsidRDefault="0076182B" w:rsidP="00A61A19">
      <w:pPr>
        <w:spacing w:after="200" w:line="240" w:lineRule="auto"/>
        <w:jc w:val="both"/>
        <w:rPr>
          <w:rFonts w:ascii="Segoe UI" w:hAnsi="Segoe UI" w:cs="Segoe UI"/>
          <w:sz w:val="20"/>
          <w:szCs w:val="20"/>
        </w:rPr>
      </w:pPr>
    </w:p>
    <w:p w14:paraId="25E75586" w14:textId="72F51106" w:rsidR="000F1755" w:rsidRPr="00382B47" w:rsidRDefault="000F1755" w:rsidP="00E92753">
      <w:pPr>
        <w:pStyle w:val="Recuodecorpodetexto"/>
        <w:spacing w:after="200"/>
        <w:ind w:firstLine="0"/>
        <w:rPr>
          <w:rFonts w:ascii="Segoe UI" w:hAnsi="Segoe UI" w:cs="Segoe UI"/>
          <w:b/>
          <w:caps/>
          <w:color w:val="auto"/>
          <w:sz w:val="20"/>
        </w:rPr>
      </w:pPr>
      <w:r w:rsidRPr="006A5099">
        <w:rPr>
          <w:rFonts w:ascii="Segoe UI" w:hAnsi="Segoe UI" w:cs="Segoe UI"/>
          <w:b/>
          <w:caps/>
          <w:color w:val="auto"/>
          <w:sz w:val="20"/>
        </w:rPr>
        <w:t xml:space="preserve">CLÁUSULA </w:t>
      </w:r>
      <w:r w:rsidR="0004471F" w:rsidRPr="006A5099">
        <w:rPr>
          <w:rFonts w:ascii="Segoe UI" w:hAnsi="Segoe UI" w:cs="Segoe UI"/>
          <w:b/>
          <w:caps/>
          <w:color w:val="auto"/>
          <w:sz w:val="20"/>
        </w:rPr>
        <w:t>DEZ</w:t>
      </w:r>
      <w:r w:rsidR="00537A6D" w:rsidRPr="006A5099">
        <w:rPr>
          <w:rFonts w:ascii="Segoe UI" w:hAnsi="Segoe UI" w:cs="Segoe UI"/>
          <w:b/>
          <w:caps/>
          <w:color w:val="auto"/>
          <w:sz w:val="20"/>
        </w:rPr>
        <w:t xml:space="preserve"> </w:t>
      </w:r>
      <w:r w:rsidRPr="006A5099">
        <w:rPr>
          <w:rFonts w:ascii="Segoe UI" w:hAnsi="Segoe UI" w:cs="Segoe UI"/>
          <w:b/>
          <w:caps/>
          <w:color w:val="auto"/>
          <w:sz w:val="20"/>
        </w:rPr>
        <w:t>– Do direito de participação – ELEGIBILIDADE</w:t>
      </w:r>
    </w:p>
    <w:p w14:paraId="246B0212" w14:textId="77777777" w:rsidR="00AA69E3" w:rsidRPr="00860B20" w:rsidRDefault="000F1755" w:rsidP="000F0542">
      <w:pPr>
        <w:autoSpaceDE w:val="0"/>
        <w:autoSpaceDN w:val="0"/>
        <w:spacing w:after="200" w:line="240" w:lineRule="auto"/>
        <w:jc w:val="both"/>
        <w:rPr>
          <w:rFonts w:ascii="Segoe UI" w:hAnsi="Segoe UI" w:cs="Segoe UI"/>
          <w:sz w:val="20"/>
          <w:szCs w:val="20"/>
        </w:rPr>
      </w:pPr>
      <w:r w:rsidRPr="00860B20">
        <w:rPr>
          <w:rFonts w:ascii="Segoe UI" w:hAnsi="Segoe UI" w:cs="Segoe UI"/>
          <w:sz w:val="20"/>
          <w:szCs w:val="20"/>
        </w:rPr>
        <w:t>São elegíveis à participação no presente PPR todos os empregados que</w:t>
      </w:r>
      <w:r w:rsidR="00AA69E3" w:rsidRPr="00860B20">
        <w:rPr>
          <w:rFonts w:ascii="Segoe UI" w:hAnsi="Segoe UI" w:cs="Segoe UI"/>
          <w:sz w:val="20"/>
          <w:szCs w:val="20"/>
        </w:rPr>
        <w:t>:</w:t>
      </w:r>
    </w:p>
    <w:p w14:paraId="4DBA566C" w14:textId="08DCDF22" w:rsidR="000F1755" w:rsidRPr="00860B20" w:rsidRDefault="00AA69E3" w:rsidP="000F0542">
      <w:pPr>
        <w:autoSpaceDE w:val="0"/>
        <w:autoSpaceDN w:val="0"/>
        <w:spacing w:after="200" w:line="240" w:lineRule="auto"/>
        <w:jc w:val="both"/>
        <w:rPr>
          <w:rFonts w:ascii="Segoe UI" w:hAnsi="Segoe UI" w:cs="Segoe UI"/>
          <w:sz w:val="20"/>
          <w:szCs w:val="20"/>
        </w:rPr>
      </w:pPr>
      <w:r w:rsidRPr="00860B20">
        <w:rPr>
          <w:rFonts w:ascii="Segoe UI" w:hAnsi="Segoe UI" w:cs="Segoe UI"/>
          <w:sz w:val="20"/>
          <w:szCs w:val="20"/>
        </w:rPr>
        <w:t xml:space="preserve">I – </w:t>
      </w:r>
      <w:proofErr w:type="gramStart"/>
      <w:r w:rsidRPr="00860B20">
        <w:rPr>
          <w:rFonts w:ascii="Segoe UI" w:hAnsi="Segoe UI" w:cs="Segoe UI"/>
          <w:sz w:val="20"/>
          <w:szCs w:val="20"/>
        </w:rPr>
        <w:t>referente</w:t>
      </w:r>
      <w:proofErr w:type="gramEnd"/>
      <w:r w:rsidRPr="00860B20">
        <w:rPr>
          <w:rFonts w:ascii="Segoe UI" w:hAnsi="Segoe UI" w:cs="Segoe UI"/>
          <w:sz w:val="20"/>
          <w:szCs w:val="20"/>
        </w:rPr>
        <w:t xml:space="preserve"> ao período de apuração de 1º/01/2024 a 31/12/2024 (</w:t>
      </w:r>
      <w:r w:rsidR="006A5099">
        <w:rPr>
          <w:rFonts w:ascii="Segoe UI" w:hAnsi="Segoe UI" w:cs="Segoe UI"/>
          <w:sz w:val="20"/>
          <w:szCs w:val="20"/>
        </w:rPr>
        <w:t>PPR 2024</w:t>
      </w:r>
      <w:r w:rsidRPr="00860B20">
        <w:rPr>
          <w:rFonts w:ascii="Segoe UI" w:hAnsi="Segoe UI" w:cs="Segoe UI"/>
          <w:sz w:val="20"/>
          <w:szCs w:val="20"/>
        </w:rPr>
        <w:t>)</w:t>
      </w:r>
      <w:r w:rsidR="00860B20" w:rsidRPr="00860B20">
        <w:rPr>
          <w:rFonts w:ascii="Segoe UI" w:hAnsi="Segoe UI" w:cs="Segoe UI"/>
          <w:sz w:val="20"/>
          <w:szCs w:val="20"/>
        </w:rPr>
        <w:t>,</w:t>
      </w:r>
      <w:r w:rsidRPr="00860B20">
        <w:rPr>
          <w:rFonts w:ascii="Segoe UI" w:hAnsi="Segoe UI" w:cs="Segoe UI"/>
          <w:sz w:val="20"/>
          <w:szCs w:val="20"/>
        </w:rPr>
        <w:t xml:space="preserve"> </w:t>
      </w:r>
      <w:r w:rsidR="000F1755" w:rsidRPr="00860B20">
        <w:rPr>
          <w:rFonts w:ascii="Segoe UI" w:hAnsi="Segoe UI" w:cs="Segoe UI"/>
          <w:sz w:val="20"/>
          <w:szCs w:val="20"/>
        </w:rPr>
        <w:t>possuam contrato de trabalho vigente com o BANRISUL em 31/12/20</w:t>
      </w:r>
      <w:r w:rsidR="00456D1F" w:rsidRPr="00860B20">
        <w:rPr>
          <w:rFonts w:ascii="Segoe UI" w:hAnsi="Segoe UI" w:cs="Segoe UI"/>
          <w:sz w:val="20"/>
          <w:szCs w:val="20"/>
        </w:rPr>
        <w:t>2</w:t>
      </w:r>
      <w:r w:rsidR="001D7D5E" w:rsidRPr="00860B20">
        <w:rPr>
          <w:rFonts w:ascii="Segoe UI" w:hAnsi="Segoe UI" w:cs="Segoe UI"/>
          <w:sz w:val="20"/>
          <w:szCs w:val="20"/>
        </w:rPr>
        <w:t>4</w:t>
      </w:r>
      <w:r w:rsidR="000F1755" w:rsidRPr="00860B20">
        <w:rPr>
          <w:rFonts w:ascii="Segoe UI" w:hAnsi="Segoe UI" w:cs="Segoe UI"/>
          <w:sz w:val="20"/>
          <w:szCs w:val="20"/>
        </w:rPr>
        <w:t xml:space="preserve">, tenham trabalhado </w:t>
      </w:r>
      <w:r w:rsidR="000F1755" w:rsidRPr="0074488D">
        <w:rPr>
          <w:rFonts w:ascii="Segoe UI" w:hAnsi="Segoe UI" w:cs="Segoe UI"/>
          <w:sz w:val="20"/>
          <w:szCs w:val="20"/>
        </w:rPr>
        <w:t>durante</w:t>
      </w:r>
      <w:r w:rsidR="001E3A6D" w:rsidRPr="0074488D">
        <w:rPr>
          <w:rFonts w:ascii="Segoe UI" w:hAnsi="Segoe UI" w:cs="Segoe UI"/>
          <w:sz w:val="20"/>
          <w:szCs w:val="20"/>
        </w:rPr>
        <w:t xml:space="preserve"> todo </w:t>
      </w:r>
      <w:r w:rsidR="000F1755" w:rsidRPr="0074488D">
        <w:rPr>
          <w:rFonts w:ascii="Segoe UI" w:hAnsi="Segoe UI" w:cs="Segoe UI"/>
          <w:sz w:val="20"/>
          <w:szCs w:val="20"/>
        </w:rPr>
        <w:t>o exercício de 20</w:t>
      </w:r>
      <w:r w:rsidR="00456D1F" w:rsidRPr="0074488D">
        <w:rPr>
          <w:rFonts w:ascii="Segoe UI" w:hAnsi="Segoe UI" w:cs="Segoe UI"/>
          <w:sz w:val="20"/>
          <w:szCs w:val="20"/>
        </w:rPr>
        <w:t>24</w:t>
      </w:r>
      <w:r w:rsidR="000F1755" w:rsidRPr="0074488D">
        <w:rPr>
          <w:rFonts w:ascii="Segoe UI" w:hAnsi="Segoe UI" w:cs="Segoe UI"/>
          <w:sz w:val="20"/>
          <w:szCs w:val="20"/>
        </w:rPr>
        <w:t>,</w:t>
      </w:r>
      <w:r w:rsidR="001E3A6D" w:rsidRPr="0074488D">
        <w:rPr>
          <w:rFonts w:ascii="Segoe UI" w:hAnsi="Segoe UI" w:cs="Segoe UI"/>
          <w:sz w:val="20"/>
          <w:szCs w:val="20"/>
        </w:rPr>
        <w:t xml:space="preserve"> ou</w:t>
      </w:r>
      <w:r w:rsidR="000F1755" w:rsidRPr="0074488D">
        <w:rPr>
          <w:rFonts w:ascii="Segoe UI" w:hAnsi="Segoe UI" w:cs="Segoe UI"/>
          <w:sz w:val="20"/>
          <w:szCs w:val="20"/>
        </w:rPr>
        <w:t xml:space="preserve"> de modo proporcional ao tempo efetivamente trabalhado no período, à razão </w:t>
      </w:r>
      <w:r w:rsidR="000F1755" w:rsidRPr="00860B20">
        <w:rPr>
          <w:rFonts w:ascii="Segoe UI" w:hAnsi="Segoe UI" w:cs="Segoe UI"/>
          <w:sz w:val="20"/>
          <w:szCs w:val="20"/>
        </w:rPr>
        <w:t xml:space="preserve">de 1/12 (um doze avos) por mês trabalhado ou fração igual ou superior a 15 (quinze) dias, e sejam pertencentes à base territorial de representação das Entidades Sindicais Profissionais signatárias. Também serão elegíveis os empregados cedidos à Banrisul </w:t>
      </w:r>
      <w:r w:rsidR="00E9289F" w:rsidRPr="00860B20">
        <w:rPr>
          <w:rFonts w:ascii="Segoe UI" w:hAnsi="Segoe UI" w:cs="Segoe UI"/>
          <w:sz w:val="20"/>
          <w:szCs w:val="20"/>
        </w:rPr>
        <w:t xml:space="preserve">Soluções em Pagamentos </w:t>
      </w:r>
      <w:r w:rsidR="000F1755" w:rsidRPr="00860B20">
        <w:rPr>
          <w:rFonts w:ascii="Segoe UI" w:hAnsi="Segoe UI" w:cs="Segoe UI"/>
          <w:sz w:val="20"/>
          <w:szCs w:val="20"/>
        </w:rPr>
        <w:t>S.A.,</w:t>
      </w:r>
      <w:r w:rsidR="000F1755" w:rsidRPr="00860B20" w:rsidDel="00813048">
        <w:rPr>
          <w:rFonts w:ascii="Segoe UI" w:hAnsi="Segoe UI" w:cs="Segoe UI"/>
          <w:sz w:val="20"/>
          <w:szCs w:val="20"/>
        </w:rPr>
        <w:t xml:space="preserve"> </w:t>
      </w:r>
      <w:r w:rsidR="000F1755" w:rsidRPr="00860B20">
        <w:rPr>
          <w:rFonts w:ascii="Segoe UI" w:hAnsi="Segoe UI" w:cs="Segoe UI"/>
          <w:sz w:val="20"/>
          <w:szCs w:val="20"/>
        </w:rPr>
        <w:t>Banrisul S.A. Administradora de Consórcios, Banrisul S.A.</w:t>
      </w:r>
      <w:r w:rsidR="00E9289F" w:rsidRPr="00860B20">
        <w:rPr>
          <w:rFonts w:ascii="Segoe UI" w:hAnsi="Segoe UI" w:cs="Segoe UI"/>
          <w:sz w:val="20"/>
          <w:szCs w:val="20"/>
        </w:rPr>
        <w:t xml:space="preserve">, Banrisul Corretora de Seguros S.A. e Banrisul </w:t>
      </w:r>
      <w:r w:rsidR="000F1755" w:rsidRPr="00860B20">
        <w:rPr>
          <w:rFonts w:ascii="Segoe UI" w:hAnsi="Segoe UI" w:cs="Segoe UI"/>
          <w:sz w:val="20"/>
          <w:szCs w:val="20"/>
        </w:rPr>
        <w:t>Corretora de Valores, Mobiliários e Câmbio.</w:t>
      </w:r>
    </w:p>
    <w:p w14:paraId="68ED7385" w14:textId="1226AC30" w:rsidR="00AA69E3" w:rsidRPr="00860B20" w:rsidRDefault="00860B20" w:rsidP="000F0542">
      <w:pPr>
        <w:autoSpaceDE w:val="0"/>
        <w:autoSpaceDN w:val="0"/>
        <w:spacing w:after="200" w:line="240" w:lineRule="auto"/>
        <w:jc w:val="both"/>
        <w:rPr>
          <w:rFonts w:ascii="Segoe UI" w:hAnsi="Segoe UI" w:cs="Segoe UI"/>
          <w:sz w:val="20"/>
          <w:szCs w:val="20"/>
        </w:rPr>
      </w:pPr>
      <w:r w:rsidRPr="00860B20">
        <w:rPr>
          <w:rFonts w:ascii="Segoe UI" w:hAnsi="Segoe UI" w:cs="Segoe UI"/>
          <w:sz w:val="20"/>
          <w:szCs w:val="20"/>
        </w:rPr>
        <w:t xml:space="preserve">II – </w:t>
      </w:r>
      <w:proofErr w:type="gramStart"/>
      <w:r w:rsidRPr="00860B20">
        <w:rPr>
          <w:rFonts w:ascii="Segoe UI" w:hAnsi="Segoe UI" w:cs="Segoe UI"/>
          <w:sz w:val="20"/>
          <w:szCs w:val="20"/>
        </w:rPr>
        <w:t>referente</w:t>
      </w:r>
      <w:proofErr w:type="gramEnd"/>
      <w:r w:rsidRPr="00860B20">
        <w:rPr>
          <w:rFonts w:ascii="Segoe UI" w:hAnsi="Segoe UI" w:cs="Segoe UI"/>
          <w:sz w:val="20"/>
          <w:szCs w:val="20"/>
        </w:rPr>
        <w:t xml:space="preserve"> ao período de apuração de 1º/01/2025 a 31/12/2025 (</w:t>
      </w:r>
      <w:r w:rsidR="006A5099">
        <w:rPr>
          <w:rFonts w:ascii="Segoe UI" w:hAnsi="Segoe UI" w:cs="Segoe UI"/>
          <w:sz w:val="20"/>
          <w:szCs w:val="20"/>
        </w:rPr>
        <w:t>PPR 2025</w:t>
      </w:r>
      <w:r w:rsidRPr="00860B20">
        <w:rPr>
          <w:rFonts w:ascii="Segoe UI" w:hAnsi="Segoe UI" w:cs="Segoe UI"/>
          <w:sz w:val="20"/>
          <w:szCs w:val="20"/>
        </w:rPr>
        <w:t>),</w:t>
      </w:r>
      <w:r w:rsidR="00AA69E3" w:rsidRPr="00860B20">
        <w:rPr>
          <w:rFonts w:ascii="Segoe UI" w:hAnsi="Segoe UI" w:cs="Segoe UI"/>
          <w:sz w:val="20"/>
          <w:szCs w:val="20"/>
        </w:rPr>
        <w:t xml:space="preserve"> possuam contrato de trabalho vigente com o BANRISUL em 31/12/202</w:t>
      </w:r>
      <w:r w:rsidRPr="00860B20">
        <w:rPr>
          <w:rFonts w:ascii="Segoe UI" w:hAnsi="Segoe UI" w:cs="Segoe UI"/>
          <w:sz w:val="20"/>
          <w:szCs w:val="20"/>
        </w:rPr>
        <w:t>5</w:t>
      </w:r>
      <w:r w:rsidR="00AA69E3" w:rsidRPr="00860B20">
        <w:rPr>
          <w:rFonts w:ascii="Segoe UI" w:hAnsi="Segoe UI" w:cs="Segoe UI"/>
          <w:sz w:val="20"/>
          <w:szCs w:val="20"/>
        </w:rPr>
        <w:t xml:space="preserve">, tenham trabalhado durante </w:t>
      </w:r>
      <w:r w:rsidR="001E3A6D" w:rsidRPr="0074488D">
        <w:rPr>
          <w:rFonts w:ascii="Segoe UI" w:hAnsi="Segoe UI" w:cs="Segoe UI"/>
          <w:sz w:val="20"/>
          <w:szCs w:val="20"/>
        </w:rPr>
        <w:t>todo o exercício de 202</w:t>
      </w:r>
      <w:r w:rsidR="0002425B" w:rsidRPr="0074488D">
        <w:rPr>
          <w:rFonts w:ascii="Segoe UI" w:hAnsi="Segoe UI" w:cs="Segoe UI"/>
          <w:sz w:val="20"/>
          <w:szCs w:val="20"/>
        </w:rPr>
        <w:t>5</w:t>
      </w:r>
      <w:r w:rsidR="001E3A6D" w:rsidRPr="0074488D">
        <w:rPr>
          <w:rFonts w:ascii="Segoe UI" w:hAnsi="Segoe UI" w:cs="Segoe UI"/>
          <w:sz w:val="20"/>
          <w:szCs w:val="20"/>
        </w:rPr>
        <w:t xml:space="preserve">, ou de modo proporcional </w:t>
      </w:r>
      <w:r w:rsidR="00AA69E3" w:rsidRPr="0074488D">
        <w:rPr>
          <w:rFonts w:ascii="Segoe UI" w:hAnsi="Segoe UI" w:cs="Segoe UI"/>
          <w:sz w:val="20"/>
          <w:szCs w:val="20"/>
        </w:rPr>
        <w:t xml:space="preserve">ao tempo efetivamente trabalhado </w:t>
      </w:r>
      <w:r w:rsidR="00AA69E3" w:rsidRPr="00860B20">
        <w:rPr>
          <w:rFonts w:ascii="Segoe UI" w:hAnsi="Segoe UI" w:cs="Segoe UI"/>
          <w:sz w:val="20"/>
          <w:szCs w:val="20"/>
        </w:rPr>
        <w:t>no período, à razão de 1/12 (um doze avos) por mês trabalhado ou fração igual ou superior a 15 (quinze) dias, e sejam pertencentes à base territorial de representação das Entidades Sindicais Profissionais signatárias. Também serão elegíveis os empregados cedidos à Banrisul Soluções em Pagamentos S.A.,</w:t>
      </w:r>
      <w:r w:rsidR="00AA69E3" w:rsidRPr="00860B20" w:rsidDel="00813048">
        <w:rPr>
          <w:rFonts w:ascii="Segoe UI" w:hAnsi="Segoe UI" w:cs="Segoe UI"/>
          <w:sz w:val="20"/>
          <w:szCs w:val="20"/>
        </w:rPr>
        <w:t xml:space="preserve"> </w:t>
      </w:r>
      <w:r w:rsidR="00AA69E3" w:rsidRPr="00860B20">
        <w:rPr>
          <w:rFonts w:ascii="Segoe UI" w:hAnsi="Segoe UI" w:cs="Segoe UI"/>
          <w:sz w:val="20"/>
          <w:szCs w:val="20"/>
        </w:rPr>
        <w:t>Banrisul S.A. Administradora de Consórcios, Banrisul S.A., Banrisul Corretora de Seguros S.A. e Banrisul Corretora de Valores, Mobiliários e Câmbio.</w:t>
      </w:r>
    </w:p>
    <w:p w14:paraId="38BDBA2D" w14:textId="314F556B" w:rsidR="000F1755" w:rsidRPr="00382B47" w:rsidRDefault="000F1755" w:rsidP="00E92753">
      <w:pPr>
        <w:spacing w:after="200" w:line="240" w:lineRule="auto"/>
        <w:jc w:val="both"/>
        <w:rPr>
          <w:rFonts w:ascii="Segoe UI" w:hAnsi="Segoe UI" w:cs="Segoe UI"/>
          <w:sz w:val="20"/>
          <w:szCs w:val="20"/>
        </w:rPr>
      </w:pPr>
      <w:r w:rsidRPr="00382B47">
        <w:rPr>
          <w:rFonts w:ascii="Segoe UI" w:hAnsi="Segoe UI" w:cs="Segoe UI"/>
          <w:sz w:val="20"/>
          <w:szCs w:val="20"/>
        </w:rPr>
        <w:t>Parágrafo primeiro</w:t>
      </w:r>
      <w:r w:rsidR="00E92753" w:rsidRPr="00382B47">
        <w:rPr>
          <w:rFonts w:ascii="Segoe UI" w:hAnsi="Segoe UI" w:cs="Segoe UI"/>
          <w:sz w:val="20"/>
          <w:szCs w:val="20"/>
        </w:rPr>
        <w:t xml:space="preserve"> - </w:t>
      </w:r>
      <w:r w:rsidRPr="00382B47">
        <w:rPr>
          <w:rFonts w:ascii="Segoe UI" w:hAnsi="Segoe UI" w:cs="Segoe UI"/>
          <w:sz w:val="20"/>
          <w:szCs w:val="20"/>
        </w:rPr>
        <w:t>O valor da participação a ser distribuíd</w:t>
      </w:r>
      <w:r w:rsidR="001D7D5E">
        <w:rPr>
          <w:rFonts w:ascii="Segoe UI" w:hAnsi="Segoe UI" w:cs="Segoe UI"/>
          <w:sz w:val="20"/>
          <w:szCs w:val="20"/>
        </w:rPr>
        <w:t>o</w:t>
      </w:r>
      <w:r w:rsidRPr="00382B47">
        <w:rPr>
          <w:rFonts w:ascii="Segoe UI" w:hAnsi="Segoe UI" w:cs="Segoe UI"/>
          <w:sz w:val="20"/>
          <w:szCs w:val="20"/>
        </w:rPr>
        <w:t xml:space="preserve"> para os empregados dispensados sem justa causa</w:t>
      </w:r>
      <w:r w:rsidR="00E4072A">
        <w:rPr>
          <w:rFonts w:ascii="Segoe UI" w:hAnsi="Segoe UI" w:cs="Segoe UI"/>
          <w:sz w:val="20"/>
          <w:szCs w:val="20"/>
        </w:rPr>
        <w:t xml:space="preserve">, </w:t>
      </w:r>
      <w:r w:rsidR="00E4072A" w:rsidRPr="0050505F">
        <w:rPr>
          <w:rFonts w:ascii="Segoe UI" w:hAnsi="Segoe UI" w:cs="Segoe UI"/>
          <w:sz w:val="20"/>
          <w:szCs w:val="20"/>
        </w:rPr>
        <w:t>que tenham se aposentado</w:t>
      </w:r>
      <w:r w:rsidR="00B31766">
        <w:rPr>
          <w:rFonts w:ascii="Segoe UI" w:hAnsi="Segoe UI" w:cs="Segoe UI"/>
          <w:sz w:val="20"/>
          <w:szCs w:val="20"/>
        </w:rPr>
        <w:t xml:space="preserve"> </w:t>
      </w:r>
      <w:r w:rsidR="00B9394C" w:rsidRPr="0050505F">
        <w:rPr>
          <w:rFonts w:ascii="Segoe UI" w:hAnsi="Segoe UI" w:cs="Segoe UI"/>
          <w:sz w:val="20"/>
          <w:szCs w:val="20"/>
        </w:rPr>
        <w:t>ou se desligad</w:t>
      </w:r>
      <w:r w:rsidR="001149B4" w:rsidRPr="0050505F">
        <w:rPr>
          <w:rFonts w:ascii="Segoe UI" w:hAnsi="Segoe UI" w:cs="Segoe UI"/>
          <w:sz w:val="20"/>
          <w:szCs w:val="20"/>
        </w:rPr>
        <w:t>o</w:t>
      </w:r>
      <w:r w:rsidR="00AA69E3">
        <w:rPr>
          <w:rFonts w:ascii="Segoe UI" w:hAnsi="Segoe UI" w:cs="Segoe UI"/>
          <w:sz w:val="20"/>
          <w:szCs w:val="20"/>
        </w:rPr>
        <w:t xml:space="preserve"> p</w:t>
      </w:r>
      <w:r w:rsidR="00A72AE2" w:rsidRPr="0050505F">
        <w:rPr>
          <w:rFonts w:ascii="Segoe UI" w:hAnsi="Segoe UI" w:cs="Segoe UI"/>
          <w:sz w:val="20"/>
          <w:szCs w:val="20"/>
        </w:rPr>
        <w:t xml:space="preserve">or algum plano de desligamento incentivado </w:t>
      </w:r>
      <w:r w:rsidRPr="0050505F">
        <w:rPr>
          <w:rFonts w:ascii="Segoe UI" w:hAnsi="Segoe UI" w:cs="Segoe UI"/>
          <w:sz w:val="20"/>
          <w:szCs w:val="20"/>
        </w:rPr>
        <w:t>ao longo do ano de 202</w:t>
      </w:r>
      <w:r w:rsidR="00456D1F" w:rsidRPr="0050505F">
        <w:rPr>
          <w:rFonts w:ascii="Segoe UI" w:hAnsi="Segoe UI" w:cs="Segoe UI"/>
          <w:sz w:val="20"/>
          <w:szCs w:val="20"/>
        </w:rPr>
        <w:t>4</w:t>
      </w:r>
      <w:r w:rsidR="00AA69E3">
        <w:rPr>
          <w:rFonts w:ascii="Segoe UI" w:hAnsi="Segoe UI" w:cs="Segoe UI"/>
          <w:sz w:val="20"/>
          <w:szCs w:val="20"/>
        </w:rPr>
        <w:t xml:space="preserve"> (</w:t>
      </w:r>
      <w:r w:rsidR="006A5099">
        <w:rPr>
          <w:rFonts w:ascii="Segoe UI" w:hAnsi="Segoe UI" w:cs="Segoe UI"/>
          <w:sz w:val="20"/>
          <w:szCs w:val="20"/>
        </w:rPr>
        <w:t>PPR 2024</w:t>
      </w:r>
      <w:r w:rsidR="00AA69E3">
        <w:rPr>
          <w:rFonts w:ascii="Segoe UI" w:hAnsi="Segoe UI" w:cs="Segoe UI"/>
          <w:sz w:val="20"/>
          <w:szCs w:val="20"/>
        </w:rPr>
        <w:t xml:space="preserve">), ou do ano 2025 (PPR 2025), </w:t>
      </w:r>
      <w:r w:rsidRPr="0050505F">
        <w:rPr>
          <w:rFonts w:ascii="Segoe UI" w:hAnsi="Segoe UI" w:cs="Segoe UI"/>
          <w:sz w:val="20"/>
          <w:szCs w:val="20"/>
        </w:rPr>
        <w:t>será proporcional ao tempo efetivamente trabalhado no</w:t>
      </w:r>
      <w:r w:rsidR="00AA69E3">
        <w:rPr>
          <w:rFonts w:ascii="Segoe UI" w:hAnsi="Segoe UI" w:cs="Segoe UI"/>
          <w:sz w:val="20"/>
          <w:szCs w:val="20"/>
        </w:rPr>
        <w:t>s</w:t>
      </w:r>
      <w:r w:rsidRPr="0050505F">
        <w:rPr>
          <w:rFonts w:ascii="Segoe UI" w:hAnsi="Segoe UI" w:cs="Segoe UI"/>
          <w:sz w:val="20"/>
          <w:szCs w:val="20"/>
        </w:rPr>
        <w:t xml:space="preserve"> mesmo</w:t>
      </w:r>
      <w:r w:rsidR="00AA69E3">
        <w:rPr>
          <w:rFonts w:ascii="Segoe UI" w:hAnsi="Segoe UI" w:cs="Segoe UI"/>
          <w:sz w:val="20"/>
          <w:szCs w:val="20"/>
        </w:rPr>
        <w:t>s</w:t>
      </w:r>
      <w:r w:rsidRPr="0050505F">
        <w:rPr>
          <w:rFonts w:ascii="Segoe UI" w:hAnsi="Segoe UI" w:cs="Segoe UI"/>
          <w:sz w:val="20"/>
          <w:szCs w:val="20"/>
        </w:rPr>
        <w:t>, à razão de 1/12 (um doze avos) por mês trabalhado ou fração igual ou superior a 15 (quinze) dias</w:t>
      </w:r>
      <w:r w:rsidR="00AA69E3">
        <w:rPr>
          <w:rFonts w:ascii="Segoe UI" w:hAnsi="Segoe UI" w:cs="Segoe UI"/>
          <w:sz w:val="20"/>
          <w:szCs w:val="20"/>
        </w:rPr>
        <w:t>, relativamente a cada um dos períodos de apuração da PPR</w:t>
      </w:r>
      <w:r w:rsidRPr="0050505F">
        <w:rPr>
          <w:rFonts w:ascii="Segoe UI" w:hAnsi="Segoe UI" w:cs="Segoe UI"/>
          <w:sz w:val="20"/>
          <w:szCs w:val="20"/>
        </w:rPr>
        <w:t>.</w:t>
      </w:r>
    </w:p>
    <w:p w14:paraId="286337AB" w14:textId="65D41A37" w:rsidR="000F1755" w:rsidRPr="00382B47" w:rsidRDefault="000F1755" w:rsidP="000F0542">
      <w:pPr>
        <w:spacing w:after="200" w:line="240" w:lineRule="auto"/>
        <w:jc w:val="both"/>
        <w:rPr>
          <w:rFonts w:ascii="Segoe UI" w:hAnsi="Segoe UI" w:cs="Segoe UI"/>
          <w:bCs/>
          <w:sz w:val="20"/>
          <w:szCs w:val="20"/>
        </w:rPr>
      </w:pPr>
      <w:r w:rsidRPr="00382B47">
        <w:rPr>
          <w:rFonts w:ascii="Segoe UI" w:hAnsi="Segoe UI" w:cs="Segoe UI"/>
          <w:sz w:val="20"/>
          <w:szCs w:val="20"/>
        </w:rPr>
        <w:t>Parágrafo segundo</w:t>
      </w:r>
      <w:r w:rsidR="00E92753" w:rsidRPr="00382B47">
        <w:rPr>
          <w:rFonts w:ascii="Segoe UI" w:hAnsi="Segoe UI" w:cs="Segoe UI"/>
          <w:sz w:val="20"/>
          <w:szCs w:val="20"/>
        </w:rPr>
        <w:t xml:space="preserve"> - </w:t>
      </w:r>
      <w:r w:rsidRPr="00382B47">
        <w:rPr>
          <w:rFonts w:ascii="Segoe UI" w:hAnsi="Segoe UI" w:cs="Segoe UI"/>
          <w:sz w:val="20"/>
          <w:szCs w:val="20"/>
        </w:rPr>
        <w:t>Os empregados que se afastarem do trabalho durante o</w:t>
      </w:r>
      <w:r w:rsidR="00AA69E3">
        <w:rPr>
          <w:rFonts w:ascii="Segoe UI" w:hAnsi="Segoe UI" w:cs="Segoe UI"/>
          <w:sz w:val="20"/>
          <w:szCs w:val="20"/>
        </w:rPr>
        <w:t>s</w:t>
      </w:r>
      <w:r w:rsidRPr="00382B47">
        <w:rPr>
          <w:rFonts w:ascii="Segoe UI" w:hAnsi="Segoe UI" w:cs="Segoe UI"/>
          <w:sz w:val="20"/>
          <w:szCs w:val="20"/>
        </w:rPr>
        <w:t xml:space="preserve"> período</w:t>
      </w:r>
      <w:r w:rsidR="00AA69E3">
        <w:rPr>
          <w:rFonts w:ascii="Segoe UI" w:hAnsi="Segoe UI" w:cs="Segoe UI"/>
          <w:sz w:val="20"/>
          <w:szCs w:val="20"/>
        </w:rPr>
        <w:t>s</w:t>
      </w:r>
      <w:r w:rsidRPr="00382B47">
        <w:rPr>
          <w:rFonts w:ascii="Segoe UI" w:hAnsi="Segoe UI" w:cs="Segoe UI"/>
          <w:sz w:val="20"/>
          <w:szCs w:val="20"/>
        </w:rPr>
        <w:t xml:space="preserve"> de apuração por acidente do trabalho ou doença</w:t>
      </w:r>
      <w:r w:rsidR="002876FF" w:rsidRPr="00382B47">
        <w:rPr>
          <w:rFonts w:ascii="Segoe UI" w:hAnsi="Segoe UI" w:cs="Segoe UI"/>
          <w:sz w:val="20"/>
          <w:szCs w:val="20"/>
        </w:rPr>
        <w:t xml:space="preserve"> </w:t>
      </w:r>
      <w:r w:rsidRPr="00382B47">
        <w:rPr>
          <w:rFonts w:ascii="Segoe UI" w:hAnsi="Segoe UI" w:cs="Segoe UI"/>
          <w:sz w:val="20"/>
          <w:szCs w:val="20"/>
        </w:rPr>
        <w:t>e empregadas(os) afastadas(os) em face da licença maternidade/paternidade/adoção e os dias de amamentação legalmente autorizados, alistamento militar, farão jus ao PPR de forma integral,</w:t>
      </w:r>
      <w:r w:rsidRPr="00382B47">
        <w:rPr>
          <w:rFonts w:ascii="Segoe UI" w:hAnsi="Segoe UI" w:cs="Segoe UI"/>
          <w:bCs/>
          <w:sz w:val="20"/>
          <w:szCs w:val="20"/>
        </w:rPr>
        <w:t xml:space="preserve"> sem dedução do período de afastamento.</w:t>
      </w:r>
    </w:p>
    <w:p w14:paraId="2CFF1629" w14:textId="70B60060" w:rsidR="000F1755" w:rsidRPr="00382B47" w:rsidRDefault="000F1755" w:rsidP="00E92753">
      <w:pPr>
        <w:spacing w:after="200" w:line="240" w:lineRule="auto"/>
        <w:jc w:val="both"/>
        <w:rPr>
          <w:rFonts w:ascii="Segoe UI" w:hAnsi="Segoe UI" w:cs="Segoe UI"/>
          <w:sz w:val="20"/>
          <w:szCs w:val="20"/>
        </w:rPr>
      </w:pPr>
      <w:r w:rsidRPr="00D84F3E">
        <w:rPr>
          <w:rFonts w:ascii="Segoe UI" w:hAnsi="Segoe UI" w:cs="Segoe UI"/>
          <w:sz w:val="20"/>
          <w:szCs w:val="20"/>
        </w:rPr>
        <w:t>Parágrafo terceiro</w:t>
      </w:r>
      <w:r w:rsidR="00E92753" w:rsidRPr="00D84F3E">
        <w:rPr>
          <w:rFonts w:ascii="Segoe UI" w:hAnsi="Segoe UI" w:cs="Segoe UI"/>
          <w:sz w:val="20"/>
          <w:szCs w:val="20"/>
        </w:rPr>
        <w:t xml:space="preserve"> - </w:t>
      </w:r>
      <w:r w:rsidRPr="00D84F3E">
        <w:rPr>
          <w:rFonts w:ascii="Segoe UI" w:hAnsi="Segoe UI" w:cs="Segoe UI"/>
          <w:sz w:val="20"/>
          <w:szCs w:val="20"/>
        </w:rPr>
        <w:t>São excluídos da participação os empregados(as) dispensados com justa</w:t>
      </w:r>
      <w:r w:rsidR="00456D1F" w:rsidRPr="00D84F3E">
        <w:rPr>
          <w:rFonts w:ascii="Segoe UI" w:hAnsi="Segoe UI" w:cs="Segoe UI"/>
          <w:sz w:val="20"/>
          <w:szCs w:val="20"/>
        </w:rPr>
        <w:t>, exonerados a pedido, exonerados por acordo e exonerados por término de contrato</w:t>
      </w:r>
      <w:r w:rsidRPr="00D84F3E">
        <w:rPr>
          <w:rFonts w:ascii="Segoe UI" w:hAnsi="Segoe UI" w:cs="Segoe UI"/>
          <w:sz w:val="20"/>
          <w:szCs w:val="20"/>
        </w:rPr>
        <w:t xml:space="preserve"> ao longo do</w:t>
      </w:r>
      <w:r w:rsidR="00AA69E3">
        <w:rPr>
          <w:rFonts w:ascii="Segoe UI" w:hAnsi="Segoe UI" w:cs="Segoe UI"/>
          <w:sz w:val="20"/>
          <w:szCs w:val="20"/>
        </w:rPr>
        <w:t>s</w:t>
      </w:r>
      <w:r w:rsidRPr="00D84F3E">
        <w:rPr>
          <w:rFonts w:ascii="Segoe UI" w:hAnsi="Segoe UI" w:cs="Segoe UI"/>
          <w:sz w:val="20"/>
          <w:szCs w:val="20"/>
        </w:rPr>
        <w:t xml:space="preserve"> ano</w:t>
      </w:r>
      <w:r w:rsidR="00AA69E3">
        <w:rPr>
          <w:rFonts w:ascii="Segoe UI" w:hAnsi="Segoe UI" w:cs="Segoe UI"/>
          <w:sz w:val="20"/>
          <w:szCs w:val="20"/>
        </w:rPr>
        <w:t>s</w:t>
      </w:r>
      <w:r w:rsidRPr="00D84F3E">
        <w:rPr>
          <w:rFonts w:ascii="Segoe UI" w:hAnsi="Segoe UI" w:cs="Segoe UI"/>
          <w:sz w:val="20"/>
          <w:szCs w:val="20"/>
        </w:rPr>
        <w:t xml:space="preserve"> de 202</w:t>
      </w:r>
      <w:r w:rsidR="00456D1F" w:rsidRPr="00D84F3E">
        <w:rPr>
          <w:rFonts w:ascii="Segoe UI" w:hAnsi="Segoe UI" w:cs="Segoe UI"/>
          <w:sz w:val="20"/>
          <w:szCs w:val="20"/>
        </w:rPr>
        <w:t>4</w:t>
      </w:r>
      <w:r w:rsidR="00AA69E3">
        <w:rPr>
          <w:rFonts w:ascii="Segoe UI" w:hAnsi="Segoe UI" w:cs="Segoe UI"/>
          <w:sz w:val="20"/>
          <w:szCs w:val="20"/>
        </w:rPr>
        <w:t xml:space="preserve"> (</w:t>
      </w:r>
      <w:r w:rsidR="006A5099">
        <w:rPr>
          <w:rFonts w:ascii="Segoe UI" w:hAnsi="Segoe UI" w:cs="Segoe UI"/>
          <w:sz w:val="20"/>
          <w:szCs w:val="20"/>
        </w:rPr>
        <w:t>PPR 2024</w:t>
      </w:r>
      <w:r w:rsidR="00AA69E3">
        <w:rPr>
          <w:rFonts w:ascii="Segoe UI" w:hAnsi="Segoe UI" w:cs="Segoe UI"/>
          <w:sz w:val="20"/>
          <w:szCs w:val="20"/>
        </w:rPr>
        <w:t>) e 2025 (</w:t>
      </w:r>
      <w:r w:rsidR="006A5099">
        <w:rPr>
          <w:rFonts w:ascii="Segoe UI" w:hAnsi="Segoe UI" w:cs="Segoe UI"/>
          <w:sz w:val="20"/>
          <w:szCs w:val="20"/>
        </w:rPr>
        <w:t>PPR 2025</w:t>
      </w:r>
      <w:r w:rsidR="00AA69E3">
        <w:rPr>
          <w:rFonts w:ascii="Segoe UI" w:hAnsi="Segoe UI" w:cs="Segoe UI"/>
          <w:sz w:val="20"/>
          <w:szCs w:val="20"/>
        </w:rPr>
        <w:t>)</w:t>
      </w:r>
      <w:r w:rsidRPr="00D84F3E">
        <w:rPr>
          <w:rFonts w:ascii="Segoe UI" w:hAnsi="Segoe UI" w:cs="Segoe UI"/>
          <w:sz w:val="20"/>
          <w:szCs w:val="20"/>
        </w:rPr>
        <w:t>, empregados cedidos ao Governo do Estado, à Fundação Banrisul de Seguridade Social, à Cabergs, à Banrisul Armazéns Gerais</w:t>
      </w:r>
      <w:r w:rsidR="00E264BD" w:rsidRPr="00D84F3E">
        <w:rPr>
          <w:rFonts w:ascii="Segoe UI" w:hAnsi="Segoe UI" w:cs="Segoe UI"/>
          <w:sz w:val="20"/>
          <w:szCs w:val="20"/>
        </w:rPr>
        <w:t>,</w:t>
      </w:r>
      <w:r w:rsidRPr="00D84F3E">
        <w:rPr>
          <w:rFonts w:ascii="Segoe UI" w:hAnsi="Segoe UI" w:cs="Segoe UI"/>
          <w:sz w:val="20"/>
          <w:szCs w:val="20"/>
        </w:rPr>
        <w:t xml:space="preserve"> os cedidos sem remuneração</w:t>
      </w:r>
      <w:r w:rsidR="007A73A9" w:rsidRPr="00D84F3E">
        <w:rPr>
          <w:rFonts w:ascii="Segoe UI" w:hAnsi="Segoe UI" w:cs="Segoe UI"/>
          <w:sz w:val="20"/>
          <w:szCs w:val="20"/>
        </w:rPr>
        <w:t>,</w:t>
      </w:r>
      <w:r w:rsidR="00E264BD" w:rsidRPr="00D84F3E">
        <w:rPr>
          <w:rFonts w:ascii="Segoe UI" w:hAnsi="Segoe UI" w:cs="Segoe UI"/>
          <w:sz w:val="20"/>
          <w:szCs w:val="20"/>
        </w:rPr>
        <w:t xml:space="preserve"> e os cedidos a empresas controladas</w:t>
      </w:r>
      <w:r w:rsidR="00A9450F" w:rsidRPr="00D84F3E">
        <w:rPr>
          <w:rFonts w:ascii="Segoe UI" w:hAnsi="Segoe UI" w:cs="Segoe UI"/>
          <w:sz w:val="20"/>
          <w:szCs w:val="20"/>
        </w:rPr>
        <w:t>,</w:t>
      </w:r>
      <w:r w:rsidR="007A73A9" w:rsidRPr="00D84F3E">
        <w:rPr>
          <w:rFonts w:ascii="Segoe UI" w:hAnsi="Segoe UI" w:cs="Segoe UI"/>
          <w:sz w:val="20"/>
          <w:szCs w:val="20"/>
        </w:rPr>
        <w:t xml:space="preserve"> coligadas e à Fundação Banrisul de Seguridade Social, à Cabergs</w:t>
      </w:r>
      <w:r w:rsidR="00E264BD" w:rsidRPr="00D84F3E">
        <w:rPr>
          <w:rFonts w:ascii="Segoe UI" w:hAnsi="Segoe UI" w:cs="Segoe UI"/>
          <w:sz w:val="20"/>
          <w:szCs w:val="20"/>
        </w:rPr>
        <w:t xml:space="preserve"> </w:t>
      </w:r>
      <w:r w:rsidR="007A73A9" w:rsidRPr="00D84F3E">
        <w:rPr>
          <w:rFonts w:ascii="Segoe UI" w:hAnsi="Segoe UI" w:cs="Segoe UI"/>
          <w:sz w:val="20"/>
          <w:szCs w:val="20"/>
        </w:rPr>
        <w:t xml:space="preserve">para </w:t>
      </w:r>
      <w:r w:rsidR="00E264BD" w:rsidRPr="00D84F3E">
        <w:rPr>
          <w:rFonts w:ascii="Segoe UI" w:hAnsi="Segoe UI" w:cs="Segoe UI"/>
          <w:sz w:val="20"/>
          <w:szCs w:val="20"/>
        </w:rPr>
        <w:t>mandatos diretivos</w:t>
      </w:r>
      <w:r w:rsidRPr="00D84F3E">
        <w:rPr>
          <w:rFonts w:ascii="Segoe UI" w:hAnsi="Segoe UI" w:cs="Segoe UI"/>
          <w:sz w:val="20"/>
          <w:szCs w:val="20"/>
        </w:rPr>
        <w:t>.</w:t>
      </w:r>
    </w:p>
    <w:p w14:paraId="7901604F" w14:textId="2FC37BEE" w:rsidR="000F1755" w:rsidRPr="00382B47" w:rsidRDefault="000F1755" w:rsidP="000F0542">
      <w:pPr>
        <w:spacing w:after="200" w:line="240" w:lineRule="auto"/>
        <w:jc w:val="both"/>
        <w:rPr>
          <w:rFonts w:ascii="Segoe UI" w:hAnsi="Segoe UI" w:cs="Segoe UI"/>
          <w:strike/>
          <w:sz w:val="20"/>
          <w:szCs w:val="20"/>
        </w:rPr>
      </w:pPr>
      <w:r w:rsidRPr="00382B47">
        <w:rPr>
          <w:rFonts w:ascii="Segoe UI" w:hAnsi="Segoe UI" w:cs="Segoe UI"/>
          <w:bCs/>
          <w:sz w:val="20"/>
          <w:szCs w:val="20"/>
        </w:rPr>
        <w:t>Parágrafo quarto</w:t>
      </w:r>
      <w:r w:rsidR="00E92753" w:rsidRPr="00382B47">
        <w:rPr>
          <w:rFonts w:ascii="Segoe UI" w:hAnsi="Segoe UI" w:cs="Segoe UI"/>
          <w:bCs/>
          <w:sz w:val="20"/>
          <w:szCs w:val="20"/>
        </w:rPr>
        <w:t xml:space="preserve"> - </w:t>
      </w:r>
      <w:r w:rsidRPr="00382B47">
        <w:rPr>
          <w:rFonts w:ascii="Segoe UI" w:hAnsi="Segoe UI" w:cs="Segoe UI"/>
          <w:sz w:val="20"/>
          <w:szCs w:val="20"/>
        </w:rPr>
        <w:t>No caso de falecimento do empregado(a), os seus dependentes, devidamente instituídos pela Previdência Social, ou caso não exista dependência para fins econômicos, os dependentes legalmente constituídos através de processo de sucessão cível, terão direito ao pagamento do programa, de forma integral ou proporcional.</w:t>
      </w:r>
    </w:p>
    <w:p w14:paraId="7E2B157B" w14:textId="644AA686" w:rsidR="000F1755" w:rsidRPr="00382B47" w:rsidRDefault="000F1755" w:rsidP="000F0542">
      <w:pPr>
        <w:spacing w:after="200" w:line="240" w:lineRule="auto"/>
        <w:jc w:val="both"/>
        <w:rPr>
          <w:rFonts w:ascii="Segoe UI" w:hAnsi="Segoe UI" w:cs="Segoe UI"/>
          <w:sz w:val="20"/>
          <w:szCs w:val="20"/>
        </w:rPr>
      </w:pPr>
      <w:r w:rsidRPr="00382B47">
        <w:rPr>
          <w:rFonts w:ascii="Segoe UI" w:hAnsi="Segoe UI" w:cs="Segoe UI"/>
          <w:bCs/>
          <w:sz w:val="20"/>
          <w:szCs w:val="20"/>
        </w:rPr>
        <w:t>Parágrafo quinto</w:t>
      </w:r>
      <w:r w:rsidR="00E92753" w:rsidRPr="00382B47">
        <w:rPr>
          <w:rFonts w:ascii="Segoe UI" w:hAnsi="Segoe UI" w:cs="Segoe UI"/>
          <w:bCs/>
          <w:sz w:val="20"/>
          <w:szCs w:val="20"/>
        </w:rPr>
        <w:t xml:space="preserve"> - </w:t>
      </w:r>
      <w:r w:rsidRPr="00382B47">
        <w:rPr>
          <w:rFonts w:ascii="Segoe UI" w:hAnsi="Segoe UI" w:cs="Segoe UI"/>
          <w:sz w:val="20"/>
          <w:szCs w:val="20"/>
        </w:rPr>
        <w:t>Os empregados(as) transferidos entre áreas internas do Banco, bem como os empregados promovidos</w:t>
      </w:r>
      <w:r w:rsidRPr="00382B47">
        <w:rPr>
          <w:rFonts w:ascii="Segoe UI" w:hAnsi="Segoe UI" w:cs="Segoe UI"/>
          <w:b/>
          <w:sz w:val="20"/>
          <w:szCs w:val="20"/>
        </w:rPr>
        <w:t xml:space="preserve"> </w:t>
      </w:r>
      <w:r w:rsidRPr="00382B47">
        <w:rPr>
          <w:rFonts w:ascii="Segoe UI" w:hAnsi="Segoe UI" w:cs="Segoe UI"/>
          <w:sz w:val="20"/>
          <w:szCs w:val="20"/>
        </w:rPr>
        <w:t>durante o período de apuração, terão direito ao recebimento da participação de forma proporcional aos períodos trabalhados em cada uma das áreas</w:t>
      </w:r>
      <w:r w:rsidR="00EF3A5B">
        <w:rPr>
          <w:rFonts w:ascii="Segoe UI" w:hAnsi="Segoe UI" w:cs="Segoe UI"/>
          <w:sz w:val="20"/>
          <w:szCs w:val="20"/>
        </w:rPr>
        <w:t>,</w:t>
      </w:r>
      <w:r w:rsidRPr="00382B47">
        <w:rPr>
          <w:rFonts w:ascii="Segoe UI" w:hAnsi="Segoe UI" w:cs="Segoe UI"/>
          <w:sz w:val="20"/>
          <w:szCs w:val="20"/>
        </w:rPr>
        <w:t xml:space="preserve"> cargos</w:t>
      </w:r>
      <w:r w:rsidR="00EF3A5B">
        <w:rPr>
          <w:rFonts w:ascii="Segoe UI" w:hAnsi="Segoe UI" w:cs="Segoe UI"/>
          <w:sz w:val="20"/>
          <w:szCs w:val="20"/>
        </w:rPr>
        <w:t xml:space="preserve"> e funções</w:t>
      </w:r>
      <w:r w:rsidRPr="00382B47">
        <w:rPr>
          <w:rFonts w:ascii="Segoe UI" w:hAnsi="Segoe UI" w:cs="Segoe UI"/>
          <w:sz w:val="20"/>
          <w:szCs w:val="20"/>
        </w:rPr>
        <w:t>.</w:t>
      </w:r>
    </w:p>
    <w:p w14:paraId="3BD8BBD1" w14:textId="7A55D798" w:rsidR="000F1755" w:rsidRPr="00D84F3E" w:rsidRDefault="000F1755" w:rsidP="00E92753">
      <w:pPr>
        <w:spacing w:after="200" w:line="240" w:lineRule="auto"/>
        <w:jc w:val="both"/>
        <w:rPr>
          <w:rFonts w:ascii="Segoe UI" w:hAnsi="Segoe UI" w:cs="Segoe UI"/>
          <w:color w:val="000000" w:themeColor="text1"/>
          <w:sz w:val="20"/>
          <w:szCs w:val="20"/>
        </w:rPr>
      </w:pPr>
      <w:r w:rsidRPr="00D84F3E">
        <w:rPr>
          <w:rFonts w:ascii="Segoe UI" w:hAnsi="Segoe UI" w:cs="Segoe UI"/>
          <w:color w:val="000000" w:themeColor="text1"/>
          <w:sz w:val="20"/>
          <w:szCs w:val="20"/>
        </w:rPr>
        <w:t>Parágrafo sexto</w:t>
      </w:r>
      <w:r w:rsidR="00E92753" w:rsidRPr="00D84F3E">
        <w:rPr>
          <w:rFonts w:ascii="Segoe UI" w:hAnsi="Segoe UI" w:cs="Segoe UI"/>
          <w:color w:val="000000" w:themeColor="text1"/>
          <w:sz w:val="20"/>
          <w:szCs w:val="20"/>
        </w:rPr>
        <w:t xml:space="preserve"> - </w:t>
      </w:r>
      <w:r w:rsidRPr="00D84F3E">
        <w:rPr>
          <w:rFonts w:ascii="Segoe UI" w:hAnsi="Segoe UI" w:cs="Segoe UI"/>
          <w:color w:val="000000" w:themeColor="text1"/>
          <w:sz w:val="20"/>
          <w:szCs w:val="20"/>
        </w:rPr>
        <w:t>Para efeitos de cálculo de PPR, serão descontados os dias de afastamento por Licença-Interesse, Licença para Concorrer ou Exercer mandato eletivo</w:t>
      </w:r>
      <w:r w:rsidR="00F97D16" w:rsidRPr="00D84F3E">
        <w:rPr>
          <w:rFonts w:ascii="Segoe UI" w:hAnsi="Segoe UI" w:cs="Segoe UI"/>
          <w:color w:val="000000" w:themeColor="text1"/>
          <w:sz w:val="20"/>
          <w:szCs w:val="20"/>
        </w:rPr>
        <w:t xml:space="preserve"> </w:t>
      </w:r>
      <w:r w:rsidR="00F97D16" w:rsidRPr="00D84F3E">
        <w:rPr>
          <w:rFonts w:ascii="Segoe UI" w:hAnsi="Segoe UI" w:cs="Segoe UI"/>
          <w:bCs/>
          <w:color w:val="000000" w:themeColor="text1"/>
          <w:sz w:val="20"/>
          <w:szCs w:val="20"/>
        </w:rPr>
        <w:t>no Executivo ou Parlamento</w:t>
      </w:r>
      <w:r w:rsidRPr="00D84F3E">
        <w:rPr>
          <w:rFonts w:ascii="Segoe UI" w:hAnsi="Segoe UI" w:cs="Segoe UI"/>
          <w:color w:val="000000" w:themeColor="text1"/>
          <w:sz w:val="20"/>
          <w:szCs w:val="20"/>
        </w:rPr>
        <w:t>, suspensão (excetuando-se a suspensão do contrato de trabalho por motivo do artigo 9º da CF), folha suspensa</w:t>
      </w:r>
      <w:r w:rsidR="00456D1F" w:rsidRPr="00D84F3E">
        <w:rPr>
          <w:rFonts w:ascii="Segoe UI" w:hAnsi="Segoe UI" w:cs="Segoe UI"/>
          <w:color w:val="000000" w:themeColor="text1"/>
          <w:sz w:val="20"/>
          <w:szCs w:val="20"/>
        </w:rPr>
        <w:t>, inquérito judicial</w:t>
      </w:r>
      <w:r w:rsidR="00B31766" w:rsidRPr="00D84F3E">
        <w:rPr>
          <w:rFonts w:ascii="Segoe UI" w:hAnsi="Segoe UI" w:cs="Segoe UI"/>
          <w:color w:val="000000" w:themeColor="text1"/>
          <w:sz w:val="20"/>
          <w:szCs w:val="20"/>
        </w:rPr>
        <w:t xml:space="preserve"> para apuração de falta grave</w:t>
      </w:r>
      <w:r w:rsidRPr="00D84F3E">
        <w:rPr>
          <w:rFonts w:ascii="Segoe UI" w:hAnsi="Segoe UI" w:cs="Segoe UI"/>
          <w:color w:val="000000" w:themeColor="text1"/>
          <w:sz w:val="20"/>
          <w:szCs w:val="20"/>
        </w:rPr>
        <w:t xml:space="preserve"> e faltas não abonadas e não autorizadas.</w:t>
      </w:r>
    </w:p>
    <w:p w14:paraId="78B169F5" w14:textId="5F4AA2A7" w:rsidR="000F1755" w:rsidRPr="00382B47" w:rsidRDefault="000F1755" w:rsidP="000F0542">
      <w:pPr>
        <w:spacing w:after="200" w:line="240" w:lineRule="auto"/>
        <w:jc w:val="both"/>
        <w:rPr>
          <w:rFonts w:ascii="Segoe UI" w:hAnsi="Segoe UI" w:cs="Segoe UI"/>
          <w:sz w:val="20"/>
          <w:szCs w:val="20"/>
        </w:rPr>
      </w:pPr>
      <w:r w:rsidRPr="00D84F3E">
        <w:rPr>
          <w:rFonts w:ascii="Segoe UI" w:hAnsi="Segoe UI" w:cs="Segoe UI"/>
          <w:bCs/>
          <w:color w:val="000000" w:themeColor="text1"/>
          <w:sz w:val="20"/>
          <w:szCs w:val="20"/>
        </w:rPr>
        <w:t>Parágrafo sétimo</w:t>
      </w:r>
      <w:r w:rsidR="00E92753" w:rsidRPr="00D84F3E">
        <w:rPr>
          <w:rFonts w:ascii="Segoe UI" w:hAnsi="Segoe UI" w:cs="Segoe UI"/>
          <w:bCs/>
          <w:color w:val="000000" w:themeColor="text1"/>
          <w:sz w:val="20"/>
          <w:szCs w:val="20"/>
        </w:rPr>
        <w:t xml:space="preserve"> - </w:t>
      </w:r>
      <w:r w:rsidRPr="00D84F3E">
        <w:rPr>
          <w:rFonts w:ascii="Segoe UI" w:hAnsi="Segoe UI" w:cs="Segoe UI"/>
          <w:color w:val="000000" w:themeColor="text1"/>
          <w:sz w:val="20"/>
          <w:szCs w:val="20"/>
        </w:rPr>
        <w:t>Os empregados que tiverem seus contratos de trabalho rescindidos (sem justa causa</w:t>
      </w:r>
      <w:r w:rsidR="00456D1F" w:rsidRPr="00D84F3E">
        <w:rPr>
          <w:rFonts w:ascii="Segoe UI" w:hAnsi="Segoe UI" w:cs="Segoe UI"/>
          <w:color w:val="000000" w:themeColor="text1"/>
          <w:sz w:val="20"/>
          <w:szCs w:val="20"/>
        </w:rPr>
        <w:t xml:space="preserve"> ou</w:t>
      </w:r>
      <w:r w:rsidR="003C58FF" w:rsidRPr="00D84F3E">
        <w:rPr>
          <w:rFonts w:ascii="Segoe UI" w:hAnsi="Segoe UI" w:cs="Segoe UI"/>
          <w:color w:val="000000" w:themeColor="text1"/>
          <w:sz w:val="20"/>
          <w:szCs w:val="20"/>
        </w:rPr>
        <w:t xml:space="preserve"> por algum plano de desligamento incentivado</w:t>
      </w:r>
      <w:r w:rsidRPr="00D84F3E">
        <w:rPr>
          <w:rFonts w:ascii="Segoe UI" w:hAnsi="Segoe UI" w:cs="Segoe UI"/>
          <w:color w:val="000000" w:themeColor="text1"/>
          <w:sz w:val="20"/>
          <w:szCs w:val="20"/>
        </w:rPr>
        <w:t>) antes do término do período de apuração ou antes da data efetiva de pagamento prevista nesse instrumento, e tenham direito ao recebimento do PPR nos termos deste Acordo, terão o respectivo pagamento creditado na conta bancária cadastrada no sistema de Recursos Humanos do Banco, até final de março de</w:t>
      </w:r>
      <w:r w:rsidR="00456D1F" w:rsidRPr="00D84F3E">
        <w:rPr>
          <w:rFonts w:ascii="Segoe UI" w:hAnsi="Segoe UI" w:cs="Segoe UI"/>
          <w:color w:val="000000" w:themeColor="text1"/>
          <w:sz w:val="20"/>
          <w:szCs w:val="20"/>
        </w:rPr>
        <w:t xml:space="preserve"> </w:t>
      </w:r>
      <w:r w:rsidR="002812EB" w:rsidRPr="00D84F3E">
        <w:rPr>
          <w:rFonts w:ascii="Segoe UI" w:hAnsi="Segoe UI" w:cs="Segoe UI"/>
          <w:color w:val="000000" w:themeColor="text1"/>
          <w:sz w:val="20"/>
          <w:szCs w:val="20"/>
        </w:rPr>
        <w:t>202</w:t>
      </w:r>
      <w:r w:rsidR="00456D1F" w:rsidRPr="00D84F3E">
        <w:rPr>
          <w:rFonts w:ascii="Segoe UI" w:hAnsi="Segoe UI" w:cs="Segoe UI"/>
          <w:color w:val="000000" w:themeColor="text1"/>
          <w:sz w:val="20"/>
          <w:szCs w:val="20"/>
        </w:rPr>
        <w:t>5</w:t>
      </w:r>
      <w:r w:rsidR="00AA69E3">
        <w:rPr>
          <w:rFonts w:ascii="Segoe UI" w:hAnsi="Segoe UI" w:cs="Segoe UI"/>
          <w:color w:val="000000" w:themeColor="text1"/>
          <w:sz w:val="20"/>
          <w:szCs w:val="20"/>
        </w:rPr>
        <w:t xml:space="preserve"> (</w:t>
      </w:r>
      <w:r w:rsidR="006A5099">
        <w:rPr>
          <w:rFonts w:ascii="Segoe UI" w:hAnsi="Segoe UI" w:cs="Segoe UI"/>
          <w:color w:val="000000" w:themeColor="text1"/>
          <w:sz w:val="20"/>
          <w:szCs w:val="20"/>
        </w:rPr>
        <w:t>PPR 2024</w:t>
      </w:r>
      <w:r w:rsidR="00AA69E3">
        <w:rPr>
          <w:rFonts w:ascii="Segoe UI" w:hAnsi="Segoe UI" w:cs="Segoe UI"/>
          <w:color w:val="000000" w:themeColor="text1"/>
          <w:sz w:val="20"/>
          <w:szCs w:val="20"/>
        </w:rPr>
        <w:t>) ou até o final de março de 2026 (</w:t>
      </w:r>
      <w:r w:rsidR="006A5099">
        <w:rPr>
          <w:rFonts w:ascii="Segoe UI" w:hAnsi="Segoe UI" w:cs="Segoe UI"/>
          <w:color w:val="000000" w:themeColor="text1"/>
          <w:sz w:val="20"/>
          <w:szCs w:val="20"/>
        </w:rPr>
        <w:t>PPR 2025</w:t>
      </w:r>
      <w:r w:rsidR="00AA69E3">
        <w:rPr>
          <w:rFonts w:ascii="Segoe UI" w:hAnsi="Segoe UI" w:cs="Segoe UI"/>
          <w:color w:val="000000" w:themeColor="text1"/>
          <w:sz w:val="20"/>
          <w:szCs w:val="20"/>
        </w:rPr>
        <w:t>)</w:t>
      </w:r>
      <w:r w:rsidRPr="00D84F3E">
        <w:rPr>
          <w:rFonts w:ascii="Segoe UI" w:hAnsi="Segoe UI" w:cs="Segoe UI"/>
          <w:color w:val="000000" w:themeColor="text1"/>
          <w:sz w:val="20"/>
          <w:szCs w:val="20"/>
        </w:rPr>
        <w:t xml:space="preserve">. Para os </w:t>
      </w:r>
      <w:r w:rsidRPr="00382B47">
        <w:rPr>
          <w:rFonts w:ascii="Segoe UI" w:hAnsi="Segoe UI" w:cs="Segoe UI"/>
          <w:sz w:val="20"/>
          <w:szCs w:val="20"/>
        </w:rPr>
        <w:t>empregados desligados que não possuam tal cadastro ativo, o Banco se compromete a convocá-los através do e-mail informado pelo próprio empregado, a comparecer no Banco e/ou fornecer os dados para o efetivo pagamento. No mesmo prazo, deverão ser creditados os valores para os dependentes do empregado falecido.</w:t>
      </w:r>
    </w:p>
    <w:p w14:paraId="346BA05E" w14:textId="71420FD3" w:rsidR="000F1755" w:rsidRPr="00382B47" w:rsidRDefault="000F1755" w:rsidP="000F0542">
      <w:pPr>
        <w:spacing w:after="200" w:line="240" w:lineRule="auto"/>
        <w:jc w:val="both"/>
        <w:rPr>
          <w:rFonts w:ascii="Segoe UI" w:hAnsi="Segoe UI" w:cs="Segoe UI"/>
          <w:sz w:val="20"/>
          <w:szCs w:val="20"/>
        </w:rPr>
      </w:pPr>
      <w:r w:rsidRPr="00382B47">
        <w:rPr>
          <w:rFonts w:ascii="Segoe UI" w:hAnsi="Segoe UI" w:cs="Segoe UI"/>
          <w:bCs/>
          <w:sz w:val="20"/>
          <w:szCs w:val="20"/>
        </w:rPr>
        <w:t>Parágrafo oitavo</w:t>
      </w:r>
      <w:r w:rsidR="00E92753" w:rsidRPr="00382B47">
        <w:rPr>
          <w:rFonts w:ascii="Segoe UI" w:hAnsi="Segoe UI" w:cs="Segoe UI"/>
          <w:bCs/>
          <w:sz w:val="20"/>
          <w:szCs w:val="20"/>
        </w:rPr>
        <w:t xml:space="preserve"> - </w:t>
      </w:r>
      <w:r w:rsidRPr="00382B47">
        <w:rPr>
          <w:rFonts w:ascii="Segoe UI" w:hAnsi="Segoe UI" w:cs="Segoe UI"/>
          <w:sz w:val="20"/>
          <w:szCs w:val="20"/>
        </w:rPr>
        <w:t>Assim que fornecidos os dados da conta bancária, o crédito referente ao valor de PPR devido ocorrerá até o 10º dia útil do mês subsequente à data da sua comunicação.</w:t>
      </w:r>
    </w:p>
    <w:p w14:paraId="28B632B3" w14:textId="2BB89519" w:rsidR="000F1755" w:rsidRDefault="000F1755" w:rsidP="000F0542">
      <w:pPr>
        <w:spacing w:after="200" w:line="240" w:lineRule="auto"/>
        <w:jc w:val="both"/>
        <w:rPr>
          <w:rFonts w:ascii="Segoe UI" w:hAnsi="Segoe UI" w:cs="Segoe UI"/>
          <w:sz w:val="20"/>
          <w:szCs w:val="20"/>
        </w:rPr>
      </w:pPr>
      <w:r w:rsidRPr="00382B47">
        <w:rPr>
          <w:rFonts w:ascii="Segoe UI" w:hAnsi="Segoe UI" w:cs="Segoe UI"/>
          <w:bCs/>
          <w:sz w:val="20"/>
          <w:szCs w:val="20"/>
        </w:rPr>
        <w:t>Parágrafo nono</w:t>
      </w:r>
      <w:r w:rsidR="00E92753" w:rsidRPr="00382B47">
        <w:rPr>
          <w:rFonts w:ascii="Segoe UI" w:hAnsi="Segoe UI" w:cs="Segoe UI"/>
          <w:bCs/>
          <w:sz w:val="20"/>
          <w:szCs w:val="20"/>
        </w:rPr>
        <w:t xml:space="preserve"> - </w:t>
      </w:r>
      <w:r w:rsidRPr="00382B47">
        <w:rPr>
          <w:rFonts w:ascii="Segoe UI" w:hAnsi="Segoe UI" w:cs="Segoe UI"/>
          <w:sz w:val="20"/>
          <w:szCs w:val="20"/>
        </w:rPr>
        <w:t>Caso não haja manifestação dos interessados após transcorrido o período de 6 (seis) meses a contar da data do pagamento do PPR aos empregados ativos, os valores serão depositados por meio de ação consignatória em nome do titular, sendo as despesas processuais abatidas do valor a ser depositado.</w:t>
      </w:r>
    </w:p>
    <w:p w14:paraId="526F53D6" w14:textId="11285719" w:rsidR="00F7592A" w:rsidRPr="0074488D" w:rsidRDefault="004954AE" w:rsidP="00F7592A">
      <w:pPr>
        <w:spacing w:before="200" w:after="200" w:line="240" w:lineRule="auto"/>
        <w:jc w:val="both"/>
        <w:rPr>
          <w:rFonts w:ascii="Segoe UI" w:hAnsi="Segoe UI" w:cs="Segoe UI"/>
          <w:sz w:val="20"/>
          <w:szCs w:val="20"/>
        </w:rPr>
      </w:pPr>
      <w:r w:rsidRPr="0074488D">
        <w:rPr>
          <w:rFonts w:ascii="Segoe UI" w:hAnsi="Segoe UI" w:cs="Segoe UI"/>
          <w:sz w:val="20"/>
          <w:szCs w:val="20"/>
        </w:rPr>
        <w:t>Parágrafo décimo - Para os empregados enquadrados na Cláusula 7ª da Convenção Coletiva de Trabalho - Relações Sindicais e considerando o atingimento pelo Banco de Lucro Líquido Recorrente a partir da faixa 3, será pago 100% do Target da Função, sem aplicação de Régua de Atingimento. Se o montante global da PPR passar o limite do montante global do gatilho, será aplicado um percentual de redução linear no cálculo de valor final de todos os empregados.</w:t>
      </w:r>
    </w:p>
    <w:p w14:paraId="7AACBF51" w14:textId="77777777" w:rsidR="00F7592A" w:rsidRDefault="00F7592A" w:rsidP="00E92753">
      <w:pPr>
        <w:spacing w:after="200" w:line="240" w:lineRule="auto"/>
        <w:jc w:val="both"/>
        <w:rPr>
          <w:rFonts w:ascii="Segoe UI" w:hAnsi="Segoe UI" w:cs="Segoe UI"/>
          <w:b/>
          <w:bCs/>
          <w:sz w:val="20"/>
          <w:szCs w:val="20"/>
        </w:rPr>
      </w:pPr>
    </w:p>
    <w:p w14:paraId="21F4ACE5" w14:textId="13F00998" w:rsidR="000F1755" w:rsidRPr="00382B47" w:rsidRDefault="000F1755" w:rsidP="00E92753">
      <w:pPr>
        <w:spacing w:after="200" w:line="240" w:lineRule="auto"/>
        <w:jc w:val="both"/>
        <w:rPr>
          <w:rFonts w:ascii="Segoe UI" w:hAnsi="Segoe UI" w:cs="Segoe UI"/>
          <w:b/>
          <w:bCs/>
          <w:sz w:val="20"/>
          <w:szCs w:val="20"/>
        </w:rPr>
      </w:pPr>
      <w:r w:rsidRPr="00382B47">
        <w:rPr>
          <w:rFonts w:ascii="Segoe UI" w:hAnsi="Segoe UI" w:cs="Segoe UI"/>
          <w:b/>
          <w:bCs/>
          <w:sz w:val="20"/>
          <w:szCs w:val="20"/>
        </w:rPr>
        <w:t xml:space="preserve">CLÁUSULA </w:t>
      </w:r>
      <w:r w:rsidR="0004471F">
        <w:rPr>
          <w:rFonts w:ascii="Segoe UI" w:hAnsi="Segoe UI" w:cs="Segoe UI"/>
          <w:b/>
          <w:bCs/>
          <w:sz w:val="20"/>
          <w:szCs w:val="20"/>
        </w:rPr>
        <w:t>ONZE</w:t>
      </w:r>
      <w:r w:rsidR="00CB14FF" w:rsidRPr="00382B47">
        <w:rPr>
          <w:rFonts w:ascii="Segoe UI" w:hAnsi="Segoe UI" w:cs="Segoe UI"/>
          <w:b/>
          <w:bCs/>
          <w:sz w:val="20"/>
          <w:szCs w:val="20"/>
        </w:rPr>
        <w:t xml:space="preserve"> </w:t>
      </w:r>
      <w:r w:rsidRPr="00382B47">
        <w:rPr>
          <w:rFonts w:ascii="Segoe UI" w:hAnsi="Segoe UI" w:cs="Segoe UI"/>
          <w:b/>
          <w:bCs/>
          <w:sz w:val="20"/>
          <w:szCs w:val="20"/>
        </w:rPr>
        <w:t>– INFORMAÇÕES</w:t>
      </w:r>
    </w:p>
    <w:p w14:paraId="42998FF4" w14:textId="77777777" w:rsidR="000F1755" w:rsidRPr="00382B47" w:rsidRDefault="000F1755" w:rsidP="000F0542">
      <w:pPr>
        <w:spacing w:after="200" w:line="240" w:lineRule="auto"/>
        <w:jc w:val="both"/>
        <w:rPr>
          <w:rFonts w:ascii="Segoe UI" w:hAnsi="Segoe UI" w:cs="Segoe UI"/>
          <w:strike/>
          <w:sz w:val="20"/>
          <w:szCs w:val="20"/>
        </w:rPr>
      </w:pPr>
      <w:r w:rsidRPr="00382B47">
        <w:rPr>
          <w:rFonts w:ascii="Segoe UI" w:hAnsi="Segoe UI" w:cs="Segoe UI"/>
          <w:sz w:val="20"/>
          <w:szCs w:val="20"/>
        </w:rPr>
        <w:t>Todos os empregados terão acesso à íntegra deste Acordo, bem como acesso às informações relativas aos objetivos e aos resultados a ele relacionados, que sejam necessários à verificação de sua participação tal como aqui estabelecida, através dos meios internos de comunicação do Banco.</w:t>
      </w:r>
    </w:p>
    <w:p w14:paraId="2B0A33D5" w14:textId="77777777" w:rsidR="000F1755" w:rsidRPr="00382B47" w:rsidRDefault="000F1755" w:rsidP="000F0542">
      <w:pPr>
        <w:spacing w:after="200" w:line="240" w:lineRule="auto"/>
        <w:jc w:val="both"/>
        <w:rPr>
          <w:rFonts w:ascii="Segoe UI" w:hAnsi="Segoe UI" w:cs="Segoe UI"/>
          <w:b/>
          <w:sz w:val="20"/>
          <w:szCs w:val="20"/>
        </w:rPr>
      </w:pPr>
      <w:bookmarkStart w:id="2" w:name="_Hlk77320727"/>
    </w:p>
    <w:p w14:paraId="4173404E" w14:textId="4DDA5199" w:rsidR="000F1755" w:rsidRPr="00382B47" w:rsidRDefault="000F1755" w:rsidP="000F0542">
      <w:pPr>
        <w:spacing w:after="200" w:line="240" w:lineRule="auto"/>
        <w:jc w:val="both"/>
        <w:rPr>
          <w:rFonts w:ascii="Segoe UI" w:hAnsi="Segoe UI" w:cs="Segoe UI"/>
          <w:b/>
          <w:bCs/>
          <w:sz w:val="20"/>
          <w:szCs w:val="20"/>
        </w:rPr>
      </w:pPr>
      <w:r w:rsidRPr="00382B47">
        <w:rPr>
          <w:rFonts w:ascii="Segoe UI" w:hAnsi="Segoe UI" w:cs="Segoe UI"/>
          <w:b/>
          <w:bCs/>
          <w:sz w:val="20"/>
          <w:szCs w:val="20"/>
        </w:rPr>
        <w:t xml:space="preserve">CLÁUSULA </w:t>
      </w:r>
      <w:r w:rsidR="0004471F">
        <w:rPr>
          <w:rFonts w:ascii="Segoe UI" w:hAnsi="Segoe UI" w:cs="Segoe UI"/>
          <w:b/>
          <w:bCs/>
          <w:sz w:val="20"/>
          <w:szCs w:val="20"/>
        </w:rPr>
        <w:t>DOZE</w:t>
      </w:r>
      <w:r w:rsidRPr="00382B47">
        <w:rPr>
          <w:rFonts w:ascii="Segoe UI" w:hAnsi="Segoe UI" w:cs="Segoe UI"/>
          <w:b/>
          <w:bCs/>
          <w:sz w:val="20"/>
          <w:szCs w:val="20"/>
        </w:rPr>
        <w:t xml:space="preserve"> – CRITÉRIOS ESPECÍFICOS</w:t>
      </w:r>
    </w:p>
    <w:p w14:paraId="7D76C693" w14:textId="7A72792A" w:rsidR="000F1755" w:rsidRDefault="004B61AC" w:rsidP="000F0542">
      <w:pPr>
        <w:spacing w:after="200" w:line="240" w:lineRule="auto"/>
        <w:jc w:val="both"/>
        <w:rPr>
          <w:rFonts w:ascii="Segoe UI" w:hAnsi="Segoe UI" w:cs="Segoe UI"/>
          <w:sz w:val="20"/>
          <w:szCs w:val="20"/>
        </w:rPr>
      </w:pPr>
      <w:r w:rsidRPr="004B61AC">
        <w:rPr>
          <w:rFonts w:ascii="Segoe UI" w:hAnsi="Segoe UI" w:cs="Segoe UI"/>
          <w:sz w:val="20"/>
          <w:szCs w:val="20"/>
        </w:rPr>
        <w:t>Os indicadores e metas, o valor de referência, a régua de atingimento da meta e os critérios específicos relativos a este Programa de Participação estão previstos no Anexo e são parte integrante deste instrumento, já referido na cláusula nona.</w:t>
      </w:r>
    </w:p>
    <w:bookmarkEnd w:id="2"/>
    <w:p w14:paraId="76B98010" w14:textId="77777777" w:rsidR="00D84F3E" w:rsidRDefault="00D84F3E" w:rsidP="00E92753">
      <w:pPr>
        <w:spacing w:after="200" w:line="240" w:lineRule="auto"/>
        <w:jc w:val="both"/>
        <w:rPr>
          <w:rFonts w:ascii="Segoe UI" w:hAnsi="Segoe UI" w:cs="Segoe UI"/>
          <w:b/>
          <w:bCs/>
          <w:sz w:val="20"/>
          <w:szCs w:val="20"/>
        </w:rPr>
      </w:pPr>
    </w:p>
    <w:p w14:paraId="16BBA89B" w14:textId="00B60CB3" w:rsidR="000F1755" w:rsidRPr="00382B47" w:rsidRDefault="000F1755" w:rsidP="00E92753">
      <w:pPr>
        <w:spacing w:after="200" w:line="240" w:lineRule="auto"/>
        <w:jc w:val="both"/>
        <w:rPr>
          <w:rFonts w:ascii="Segoe UI" w:hAnsi="Segoe UI" w:cs="Segoe UI"/>
          <w:b/>
          <w:bCs/>
          <w:sz w:val="20"/>
          <w:szCs w:val="20"/>
        </w:rPr>
      </w:pPr>
      <w:r w:rsidRPr="00382B47">
        <w:rPr>
          <w:rFonts w:ascii="Segoe UI" w:hAnsi="Segoe UI" w:cs="Segoe UI"/>
          <w:b/>
          <w:bCs/>
          <w:sz w:val="20"/>
          <w:szCs w:val="20"/>
        </w:rPr>
        <w:t xml:space="preserve">CLÁUSULA </w:t>
      </w:r>
      <w:r w:rsidR="0004471F">
        <w:rPr>
          <w:rFonts w:ascii="Segoe UI" w:hAnsi="Segoe UI" w:cs="Segoe UI"/>
          <w:b/>
          <w:bCs/>
          <w:sz w:val="20"/>
          <w:szCs w:val="20"/>
        </w:rPr>
        <w:t>TRE</w:t>
      </w:r>
      <w:r w:rsidR="00640612">
        <w:rPr>
          <w:rFonts w:ascii="Segoe UI" w:hAnsi="Segoe UI" w:cs="Segoe UI"/>
          <w:b/>
          <w:bCs/>
          <w:sz w:val="20"/>
          <w:szCs w:val="20"/>
        </w:rPr>
        <w:t>ZE</w:t>
      </w:r>
      <w:r w:rsidRPr="00382B47">
        <w:rPr>
          <w:rFonts w:ascii="Segoe UI" w:hAnsi="Segoe UI" w:cs="Segoe UI"/>
          <w:b/>
          <w:bCs/>
          <w:sz w:val="20"/>
          <w:szCs w:val="20"/>
        </w:rPr>
        <w:t xml:space="preserve"> – DIVULGAÇÃO E APURAÇÃO DOS OBJETIVOS E RESULTADOS</w:t>
      </w:r>
    </w:p>
    <w:p w14:paraId="38400C7D" w14:textId="77777777" w:rsidR="000F1755" w:rsidRPr="00382B47" w:rsidRDefault="000F1755" w:rsidP="000F0542">
      <w:pPr>
        <w:spacing w:after="200" w:line="240" w:lineRule="auto"/>
        <w:jc w:val="both"/>
        <w:rPr>
          <w:rFonts w:ascii="Segoe UI" w:hAnsi="Segoe UI" w:cs="Segoe UI"/>
          <w:sz w:val="20"/>
          <w:szCs w:val="20"/>
        </w:rPr>
      </w:pPr>
      <w:r w:rsidRPr="00382B47">
        <w:rPr>
          <w:rFonts w:ascii="Segoe UI" w:hAnsi="Segoe UI" w:cs="Segoe UI"/>
          <w:sz w:val="20"/>
          <w:szCs w:val="20"/>
        </w:rPr>
        <w:t>Todos os objetivos estipulados para o período de apuração serão divulgados antecipadamente e internamente pelo Banco a todos os seus empregados(as), bem como disponibilizadas em seus meios internos de comunicação.</w:t>
      </w:r>
    </w:p>
    <w:p w14:paraId="618AB4D2" w14:textId="77777777" w:rsidR="00D84F3E" w:rsidRDefault="00D84F3E" w:rsidP="00E92753">
      <w:pPr>
        <w:spacing w:after="200" w:line="240" w:lineRule="auto"/>
        <w:jc w:val="both"/>
        <w:rPr>
          <w:rFonts w:ascii="Segoe UI" w:hAnsi="Segoe UI" w:cs="Segoe UI"/>
          <w:b/>
          <w:bCs/>
          <w:sz w:val="20"/>
          <w:szCs w:val="20"/>
        </w:rPr>
      </w:pPr>
    </w:p>
    <w:p w14:paraId="0BD04191" w14:textId="7C3DFE1B" w:rsidR="000F1755" w:rsidRPr="00382B47" w:rsidRDefault="00E92753" w:rsidP="00E92753">
      <w:pPr>
        <w:spacing w:after="200" w:line="240" w:lineRule="auto"/>
        <w:jc w:val="both"/>
        <w:rPr>
          <w:rFonts w:ascii="Segoe UI" w:hAnsi="Segoe UI" w:cs="Segoe UI"/>
          <w:b/>
          <w:bCs/>
          <w:sz w:val="20"/>
          <w:szCs w:val="20"/>
        </w:rPr>
      </w:pPr>
      <w:r w:rsidRPr="00C07BBF">
        <w:rPr>
          <w:rFonts w:ascii="Segoe UI" w:hAnsi="Segoe UI" w:cs="Segoe UI"/>
          <w:b/>
          <w:bCs/>
          <w:sz w:val="20"/>
          <w:szCs w:val="20"/>
        </w:rPr>
        <w:t xml:space="preserve">CLÁUSULA </w:t>
      </w:r>
      <w:r w:rsidR="0004471F" w:rsidRPr="00C07BBF">
        <w:rPr>
          <w:rFonts w:ascii="Segoe UI" w:hAnsi="Segoe UI" w:cs="Segoe UI"/>
          <w:b/>
          <w:bCs/>
          <w:sz w:val="20"/>
          <w:szCs w:val="20"/>
        </w:rPr>
        <w:t>QUATORZE</w:t>
      </w:r>
      <w:r w:rsidR="00ED74F2" w:rsidRPr="00C07BBF">
        <w:rPr>
          <w:rFonts w:ascii="Segoe UI" w:hAnsi="Segoe UI" w:cs="Segoe UI"/>
          <w:b/>
          <w:bCs/>
          <w:sz w:val="20"/>
          <w:szCs w:val="20"/>
        </w:rPr>
        <w:t xml:space="preserve"> </w:t>
      </w:r>
      <w:r w:rsidRPr="00C07BBF">
        <w:rPr>
          <w:rFonts w:ascii="Segoe UI" w:hAnsi="Segoe UI" w:cs="Segoe UI"/>
          <w:b/>
          <w:bCs/>
          <w:sz w:val="20"/>
          <w:szCs w:val="20"/>
        </w:rPr>
        <w:t>– DO PAGAMENTO</w:t>
      </w:r>
    </w:p>
    <w:p w14:paraId="4F6FFDF7" w14:textId="4E8B8E9B" w:rsidR="000F1755" w:rsidRPr="00D84F3E" w:rsidRDefault="000F1755" w:rsidP="000F05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jc w:val="both"/>
        <w:rPr>
          <w:rFonts w:ascii="Segoe UI" w:hAnsi="Segoe UI" w:cs="Segoe UI"/>
          <w:sz w:val="20"/>
          <w:szCs w:val="20"/>
        </w:rPr>
      </w:pPr>
      <w:r w:rsidRPr="00D84F3E">
        <w:rPr>
          <w:rFonts w:ascii="Segoe UI" w:hAnsi="Segoe UI" w:cs="Segoe UI"/>
          <w:sz w:val="20"/>
          <w:szCs w:val="20"/>
        </w:rPr>
        <w:t>O Banco pagará o valor da participação referente ao período de apuração de 1º/01/202</w:t>
      </w:r>
      <w:r w:rsidR="00456D1F" w:rsidRPr="00D84F3E">
        <w:rPr>
          <w:rFonts w:ascii="Segoe UI" w:hAnsi="Segoe UI" w:cs="Segoe UI"/>
          <w:sz w:val="20"/>
          <w:szCs w:val="20"/>
        </w:rPr>
        <w:t>4</w:t>
      </w:r>
      <w:r w:rsidRPr="00D84F3E">
        <w:rPr>
          <w:rFonts w:ascii="Segoe UI" w:hAnsi="Segoe UI" w:cs="Segoe UI"/>
          <w:sz w:val="20"/>
          <w:szCs w:val="20"/>
        </w:rPr>
        <w:t xml:space="preserve"> a 31/12/202</w:t>
      </w:r>
      <w:r w:rsidR="00456D1F" w:rsidRPr="00D84F3E">
        <w:rPr>
          <w:rFonts w:ascii="Segoe UI" w:hAnsi="Segoe UI" w:cs="Segoe UI"/>
          <w:sz w:val="20"/>
          <w:szCs w:val="20"/>
        </w:rPr>
        <w:t>4</w:t>
      </w:r>
      <w:r w:rsidR="00860B20">
        <w:rPr>
          <w:rFonts w:ascii="Segoe UI" w:hAnsi="Segoe UI" w:cs="Segoe UI"/>
          <w:sz w:val="20"/>
          <w:szCs w:val="20"/>
        </w:rPr>
        <w:t xml:space="preserve"> (</w:t>
      </w:r>
      <w:r w:rsidR="006A5099">
        <w:rPr>
          <w:rFonts w:ascii="Segoe UI" w:hAnsi="Segoe UI" w:cs="Segoe UI"/>
          <w:sz w:val="20"/>
          <w:szCs w:val="20"/>
        </w:rPr>
        <w:t>PPR 2024</w:t>
      </w:r>
      <w:r w:rsidR="00860B20">
        <w:rPr>
          <w:rFonts w:ascii="Segoe UI" w:hAnsi="Segoe UI" w:cs="Segoe UI"/>
          <w:sz w:val="20"/>
          <w:szCs w:val="20"/>
        </w:rPr>
        <w:t>)</w:t>
      </w:r>
      <w:r w:rsidRPr="00D84F3E">
        <w:rPr>
          <w:rFonts w:ascii="Segoe UI" w:hAnsi="Segoe UI" w:cs="Segoe UI"/>
          <w:sz w:val="20"/>
          <w:szCs w:val="20"/>
        </w:rPr>
        <w:t xml:space="preserve"> em </w:t>
      </w:r>
      <w:r w:rsidRPr="0074488D">
        <w:rPr>
          <w:rFonts w:ascii="Segoe UI" w:hAnsi="Segoe UI" w:cs="Segoe UI"/>
          <w:sz w:val="20"/>
          <w:szCs w:val="20"/>
        </w:rPr>
        <w:t xml:space="preserve">uma única parcela até o dia de pagamento da folha de </w:t>
      </w:r>
      <w:r w:rsidR="00456D1F" w:rsidRPr="0074488D">
        <w:rPr>
          <w:rFonts w:ascii="Segoe UI" w:hAnsi="Segoe UI" w:cs="Segoe UI"/>
          <w:sz w:val="20"/>
          <w:szCs w:val="20"/>
        </w:rPr>
        <w:t>março</w:t>
      </w:r>
      <w:r w:rsidRPr="0074488D">
        <w:rPr>
          <w:rFonts w:ascii="Segoe UI" w:hAnsi="Segoe UI" w:cs="Segoe UI"/>
          <w:sz w:val="20"/>
          <w:szCs w:val="20"/>
        </w:rPr>
        <w:t xml:space="preserve"> de 202</w:t>
      </w:r>
      <w:r w:rsidR="00456D1F" w:rsidRPr="0074488D">
        <w:rPr>
          <w:rFonts w:ascii="Segoe UI" w:hAnsi="Segoe UI" w:cs="Segoe UI"/>
          <w:sz w:val="20"/>
          <w:szCs w:val="20"/>
        </w:rPr>
        <w:t>5</w:t>
      </w:r>
      <w:r w:rsidRPr="0074488D">
        <w:rPr>
          <w:rFonts w:ascii="Segoe UI" w:hAnsi="Segoe UI" w:cs="Segoe UI"/>
          <w:sz w:val="20"/>
          <w:szCs w:val="20"/>
        </w:rPr>
        <w:t xml:space="preserve">, </w:t>
      </w:r>
      <w:r w:rsidR="005F4A8E" w:rsidRPr="00D84F3E">
        <w:rPr>
          <w:rFonts w:ascii="Segoe UI" w:hAnsi="Segoe UI" w:cs="Segoe UI"/>
          <w:sz w:val="20"/>
          <w:szCs w:val="20"/>
        </w:rPr>
        <w:t>juntamente com a Participação nos Lucros e Resultados objeto de negociação em Convenção Coletiva de Trabalho - Participação dos Empregados nos Lucros ou Resultados dos Bancos (</w:t>
      </w:r>
      <w:r w:rsidR="004B673E">
        <w:rPr>
          <w:rFonts w:ascii="Segoe UI" w:hAnsi="Segoe UI" w:cs="Segoe UI"/>
          <w:sz w:val="20"/>
          <w:szCs w:val="20"/>
        </w:rPr>
        <w:t>PLR 2024</w:t>
      </w:r>
      <w:r w:rsidR="005F4A8E" w:rsidRPr="00D84F3E">
        <w:rPr>
          <w:rFonts w:ascii="Segoe UI" w:hAnsi="Segoe UI" w:cs="Segoe UI"/>
          <w:sz w:val="20"/>
          <w:szCs w:val="20"/>
        </w:rPr>
        <w:t>) e Acordo Coletivo de Trabalho - Banrisul Aditivo à Convenção Coletiva de Trabalho 2024/2026</w:t>
      </w:r>
      <w:r w:rsidR="00ED74F2">
        <w:rPr>
          <w:rFonts w:ascii="Segoe UI" w:hAnsi="Segoe UI" w:cs="Segoe UI"/>
          <w:sz w:val="20"/>
          <w:szCs w:val="20"/>
        </w:rPr>
        <w:t xml:space="preserve"> (</w:t>
      </w:r>
      <w:r w:rsidR="004B673E">
        <w:rPr>
          <w:rFonts w:ascii="Segoe UI" w:hAnsi="Segoe UI" w:cs="Segoe UI"/>
          <w:sz w:val="20"/>
          <w:szCs w:val="20"/>
        </w:rPr>
        <w:t>PLR</w:t>
      </w:r>
      <w:r w:rsidR="00C07BBF">
        <w:rPr>
          <w:rFonts w:ascii="Segoe UI" w:hAnsi="Segoe UI" w:cs="Segoe UI"/>
          <w:sz w:val="20"/>
          <w:szCs w:val="20"/>
        </w:rPr>
        <w:t xml:space="preserve"> Adicional Banrisul</w:t>
      </w:r>
      <w:r w:rsidR="004B673E">
        <w:rPr>
          <w:rFonts w:ascii="Segoe UI" w:hAnsi="Segoe UI" w:cs="Segoe UI"/>
          <w:sz w:val="20"/>
          <w:szCs w:val="20"/>
        </w:rPr>
        <w:t xml:space="preserve"> 2024</w:t>
      </w:r>
      <w:r w:rsidR="00ED74F2">
        <w:rPr>
          <w:rFonts w:ascii="Segoe UI" w:hAnsi="Segoe UI" w:cs="Segoe UI"/>
          <w:sz w:val="20"/>
          <w:szCs w:val="20"/>
        </w:rPr>
        <w:t>)</w:t>
      </w:r>
      <w:r w:rsidR="005F4A8E" w:rsidRPr="00D84F3E">
        <w:rPr>
          <w:rFonts w:ascii="Segoe UI" w:hAnsi="Segoe UI" w:cs="Segoe UI"/>
          <w:sz w:val="20"/>
          <w:szCs w:val="20"/>
        </w:rPr>
        <w:t xml:space="preserve">, </w:t>
      </w:r>
      <w:r w:rsidRPr="00D84F3E">
        <w:rPr>
          <w:rFonts w:ascii="Segoe UI" w:hAnsi="Segoe UI" w:cs="Segoe UI"/>
          <w:sz w:val="20"/>
          <w:szCs w:val="20"/>
        </w:rPr>
        <w:t xml:space="preserve">para os empregados elegíveis. Os valores referentes à participação serão tributados na fonte, em separado dos demais rendimentos do mês, em conformidade com a </w:t>
      </w:r>
      <w:r w:rsidR="00182387" w:rsidRPr="00D84F3E">
        <w:rPr>
          <w:rFonts w:ascii="Segoe UI" w:hAnsi="Segoe UI" w:cs="Segoe UI"/>
          <w:sz w:val="20"/>
          <w:szCs w:val="20"/>
        </w:rPr>
        <w:t>legislação</w:t>
      </w:r>
      <w:r w:rsidRPr="00D84F3E">
        <w:rPr>
          <w:rFonts w:ascii="Segoe UI" w:hAnsi="Segoe UI" w:cs="Segoe UI"/>
          <w:sz w:val="20"/>
          <w:szCs w:val="20"/>
        </w:rPr>
        <w:t>. Haverá possibilidade de antecipação, conforme regras do parágrafo único da cláusula sexta.</w:t>
      </w:r>
    </w:p>
    <w:p w14:paraId="5DF5FDFD" w14:textId="7B20E6E0" w:rsidR="00C510C4" w:rsidRDefault="00C510C4" w:rsidP="000F05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jc w:val="both"/>
        <w:rPr>
          <w:rFonts w:ascii="Segoe UI" w:hAnsi="Segoe UI" w:cs="Segoe UI"/>
          <w:sz w:val="20"/>
          <w:szCs w:val="20"/>
        </w:rPr>
      </w:pPr>
      <w:bookmarkStart w:id="3" w:name="_Hlk181626281"/>
      <w:r w:rsidRPr="00D84F3E">
        <w:rPr>
          <w:rFonts w:ascii="Segoe UI" w:hAnsi="Segoe UI" w:cs="Segoe UI"/>
          <w:sz w:val="20"/>
          <w:szCs w:val="20"/>
        </w:rPr>
        <w:t xml:space="preserve">Parágrafo </w:t>
      </w:r>
      <w:r w:rsidR="00ED74F2">
        <w:rPr>
          <w:rFonts w:ascii="Segoe UI" w:hAnsi="Segoe UI" w:cs="Segoe UI"/>
          <w:sz w:val="20"/>
          <w:szCs w:val="20"/>
        </w:rPr>
        <w:t>primeiro</w:t>
      </w:r>
      <w:r w:rsidRPr="00D84F3E">
        <w:rPr>
          <w:rFonts w:ascii="Segoe UI" w:hAnsi="Segoe UI" w:cs="Segoe UI"/>
          <w:sz w:val="20"/>
          <w:szCs w:val="20"/>
        </w:rPr>
        <w:t xml:space="preserve"> – Ajustam as partes que o pagamento da PLR FENABAN e da PLR Adicional Banrisul, relativas ao ano de 2024, será realizado juntamente com a parcela prevista no Programa de Participação nos Resultados negociado no presente Acordo Coletivo, até o processamento da folha de pagamento do mês de março de 2025, prevalecendo esta data em relação ao que foi negociado na Convenção Coletiva de Trabalho - Participação dos Empregados nos Lucros ou Resultados dos Bancos (</w:t>
      </w:r>
      <w:r w:rsidR="004B673E">
        <w:rPr>
          <w:rFonts w:ascii="Segoe UI" w:hAnsi="Segoe UI" w:cs="Segoe UI"/>
          <w:sz w:val="20"/>
          <w:szCs w:val="20"/>
        </w:rPr>
        <w:t>PLR 2024</w:t>
      </w:r>
      <w:r w:rsidRPr="00D84F3E">
        <w:rPr>
          <w:rFonts w:ascii="Segoe UI" w:hAnsi="Segoe UI" w:cs="Segoe UI"/>
          <w:sz w:val="20"/>
          <w:szCs w:val="20"/>
        </w:rPr>
        <w:t>) e no Acordo Coletivo de Trabalho – Banrisul Aditivo à Convenção Coletiva de Trabalho 2024/2026</w:t>
      </w:r>
      <w:r w:rsidR="00ED74F2">
        <w:rPr>
          <w:rFonts w:ascii="Segoe UI" w:hAnsi="Segoe UI" w:cs="Segoe UI"/>
          <w:sz w:val="20"/>
          <w:szCs w:val="20"/>
        </w:rPr>
        <w:t xml:space="preserve"> </w:t>
      </w:r>
      <w:r w:rsidR="00ED74F2" w:rsidRPr="00D84F3E">
        <w:rPr>
          <w:rFonts w:ascii="Segoe UI" w:hAnsi="Segoe UI" w:cs="Segoe UI"/>
          <w:sz w:val="20"/>
          <w:szCs w:val="20"/>
        </w:rPr>
        <w:t>(</w:t>
      </w:r>
      <w:r w:rsidR="004B673E">
        <w:rPr>
          <w:rFonts w:ascii="Segoe UI" w:hAnsi="Segoe UI" w:cs="Segoe UI"/>
          <w:sz w:val="20"/>
          <w:szCs w:val="20"/>
        </w:rPr>
        <w:t xml:space="preserve">PLR </w:t>
      </w:r>
      <w:r w:rsidR="00C07BBF">
        <w:rPr>
          <w:rFonts w:ascii="Segoe UI" w:hAnsi="Segoe UI" w:cs="Segoe UI"/>
          <w:sz w:val="20"/>
          <w:szCs w:val="20"/>
        </w:rPr>
        <w:t xml:space="preserve">Adicional Banrisul </w:t>
      </w:r>
      <w:r w:rsidR="004B673E">
        <w:rPr>
          <w:rFonts w:ascii="Segoe UI" w:hAnsi="Segoe UI" w:cs="Segoe UI"/>
          <w:sz w:val="20"/>
          <w:szCs w:val="20"/>
        </w:rPr>
        <w:t>2024</w:t>
      </w:r>
      <w:r w:rsidR="00ED74F2" w:rsidRPr="00D84F3E">
        <w:rPr>
          <w:rFonts w:ascii="Segoe UI" w:hAnsi="Segoe UI" w:cs="Segoe UI"/>
          <w:sz w:val="20"/>
          <w:szCs w:val="20"/>
        </w:rPr>
        <w:t>)</w:t>
      </w:r>
      <w:r w:rsidRPr="00D84F3E">
        <w:rPr>
          <w:rFonts w:ascii="Segoe UI" w:hAnsi="Segoe UI" w:cs="Segoe UI"/>
          <w:sz w:val="20"/>
          <w:szCs w:val="20"/>
        </w:rPr>
        <w:t>.</w:t>
      </w:r>
    </w:p>
    <w:p w14:paraId="3AF661F8" w14:textId="3EC7DBFE" w:rsidR="00ED74F2" w:rsidRPr="00220E1B" w:rsidRDefault="00ED74F2" w:rsidP="000F05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jc w:val="both"/>
        <w:rPr>
          <w:rFonts w:ascii="Segoe UI" w:hAnsi="Segoe UI" w:cs="Segoe UI"/>
          <w:sz w:val="20"/>
          <w:szCs w:val="20"/>
        </w:rPr>
      </w:pPr>
      <w:r w:rsidRPr="00860B20">
        <w:rPr>
          <w:rFonts w:ascii="Segoe UI" w:hAnsi="Segoe UI" w:cs="Segoe UI"/>
          <w:sz w:val="20"/>
          <w:szCs w:val="20"/>
        </w:rPr>
        <w:t>Parágrafo segundo – o valor da PPR referente ao período de apuração de 1º/01/2025 a 31/12/2025</w:t>
      </w:r>
      <w:r w:rsidR="00860B20" w:rsidRPr="00860B20">
        <w:rPr>
          <w:rFonts w:ascii="Segoe UI" w:hAnsi="Segoe UI" w:cs="Segoe UI"/>
          <w:sz w:val="20"/>
          <w:szCs w:val="20"/>
        </w:rPr>
        <w:t xml:space="preserve"> (</w:t>
      </w:r>
      <w:r w:rsidR="006A5099">
        <w:rPr>
          <w:rFonts w:ascii="Segoe UI" w:hAnsi="Segoe UI" w:cs="Segoe UI"/>
          <w:sz w:val="20"/>
          <w:szCs w:val="20"/>
        </w:rPr>
        <w:t>PPR 2025</w:t>
      </w:r>
      <w:r w:rsidR="00860B20" w:rsidRPr="00860B20">
        <w:rPr>
          <w:rFonts w:ascii="Segoe UI" w:hAnsi="Segoe UI" w:cs="Segoe UI"/>
          <w:sz w:val="20"/>
          <w:szCs w:val="20"/>
        </w:rPr>
        <w:t>)</w:t>
      </w:r>
      <w:r w:rsidRPr="00860B20">
        <w:rPr>
          <w:rFonts w:ascii="Segoe UI" w:hAnsi="Segoe UI" w:cs="Segoe UI"/>
          <w:sz w:val="20"/>
          <w:szCs w:val="20"/>
        </w:rPr>
        <w:t xml:space="preserve"> será pago em uma </w:t>
      </w:r>
      <w:r w:rsidRPr="0074488D">
        <w:rPr>
          <w:rFonts w:ascii="Segoe UI" w:hAnsi="Segoe UI" w:cs="Segoe UI"/>
          <w:sz w:val="20"/>
          <w:szCs w:val="20"/>
        </w:rPr>
        <w:t>única parcela até o dia de pagamento da folha de março de 2026, juntamente</w:t>
      </w:r>
      <w:r w:rsidRPr="00860B20">
        <w:rPr>
          <w:rFonts w:ascii="Segoe UI" w:hAnsi="Segoe UI" w:cs="Segoe UI"/>
          <w:sz w:val="20"/>
          <w:szCs w:val="20"/>
        </w:rPr>
        <w:t xml:space="preserve"> com a Participação nos Lucros e Resultados objeto de negociação em Convenção Coletiva de Trabalho - Participação dos Empregados nos Lucros ou Resultados dos Bancos (</w:t>
      </w:r>
      <w:r w:rsidR="004B673E">
        <w:rPr>
          <w:rFonts w:ascii="Segoe UI" w:hAnsi="Segoe UI" w:cs="Segoe UI"/>
          <w:sz w:val="20"/>
          <w:szCs w:val="20"/>
        </w:rPr>
        <w:t>PLR 2025</w:t>
      </w:r>
      <w:r w:rsidRPr="00860B20">
        <w:rPr>
          <w:rFonts w:ascii="Segoe UI" w:hAnsi="Segoe UI" w:cs="Segoe UI"/>
          <w:sz w:val="20"/>
          <w:szCs w:val="20"/>
        </w:rPr>
        <w:t>) e Acordo Coletivo de Trabalho - Banrisul Aditivo à Convenção Coletiva de Trabalho 2024/2026 (</w:t>
      </w:r>
      <w:r w:rsidR="004B673E">
        <w:rPr>
          <w:rFonts w:ascii="Segoe UI" w:hAnsi="Segoe UI" w:cs="Segoe UI"/>
          <w:sz w:val="20"/>
          <w:szCs w:val="20"/>
        </w:rPr>
        <w:t xml:space="preserve">PLR </w:t>
      </w:r>
      <w:r w:rsidR="00C07BBF">
        <w:rPr>
          <w:rFonts w:ascii="Segoe UI" w:hAnsi="Segoe UI" w:cs="Segoe UI"/>
          <w:sz w:val="20"/>
          <w:szCs w:val="20"/>
        </w:rPr>
        <w:t xml:space="preserve">Adicional Banrisul </w:t>
      </w:r>
      <w:r w:rsidR="004B673E">
        <w:rPr>
          <w:rFonts w:ascii="Segoe UI" w:hAnsi="Segoe UI" w:cs="Segoe UI"/>
          <w:sz w:val="20"/>
          <w:szCs w:val="20"/>
        </w:rPr>
        <w:t>2025</w:t>
      </w:r>
      <w:r w:rsidRPr="00860B20">
        <w:rPr>
          <w:rFonts w:ascii="Segoe UI" w:hAnsi="Segoe UI" w:cs="Segoe UI"/>
          <w:sz w:val="20"/>
          <w:szCs w:val="20"/>
        </w:rPr>
        <w:t>), para os empregados elegíveis. Os valores referentes à participação serão tributados na fonte, em separado dos demais rendimentos do mês, em conformidade com a legislação</w:t>
      </w:r>
      <w:r w:rsidRPr="00220E1B">
        <w:rPr>
          <w:rFonts w:ascii="Segoe UI" w:hAnsi="Segoe UI" w:cs="Segoe UI"/>
          <w:sz w:val="20"/>
          <w:szCs w:val="20"/>
        </w:rPr>
        <w:t>. Haverá possibilidade de antecipação, conforme regras do parágrafo único da cláusula sexta.</w:t>
      </w:r>
    </w:p>
    <w:p w14:paraId="30A19829" w14:textId="56FB2FFE" w:rsidR="00ED74F2" w:rsidRPr="00694096" w:rsidRDefault="00ED74F2" w:rsidP="000F05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jc w:val="both"/>
        <w:rPr>
          <w:rFonts w:ascii="Segoe UI" w:hAnsi="Segoe UI" w:cs="Segoe UI"/>
          <w:sz w:val="20"/>
          <w:szCs w:val="20"/>
        </w:rPr>
      </w:pPr>
      <w:r w:rsidRPr="00D84F3E">
        <w:rPr>
          <w:rFonts w:ascii="Segoe UI" w:hAnsi="Segoe UI" w:cs="Segoe UI"/>
          <w:sz w:val="20"/>
          <w:szCs w:val="20"/>
        </w:rPr>
        <w:t xml:space="preserve">Parágrafo </w:t>
      </w:r>
      <w:r>
        <w:rPr>
          <w:rFonts w:ascii="Segoe UI" w:hAnsi="Segoe UI" w:cs="Segoe UI"/>
          <w:sz w:val="20"/>
          <w:szCs w:val="20"/>
        </w:rPr>
        <w:t>terceiro</w:t>
      </w:r>
      <w:r w:rsidRPr="00D84F3E">
        <w:rPr>
          <w:rFonts w:ascii="Segoe UI" w:hAnsi="Segoe UI" w:cs="Segoe UI"/>
          <w:sz w:val="20"/>
          <w:szCs w:val="20"/>
        </w:rPr>
        <w:t xml:space="preserve"> – Ajustam as partes que o pagamento da PLR FENABAN e da PLR Adicional Banrisul, relativas ao ano de 202</w:t>
      </w:r>
      <w:r w:rsidR="009E02AF">
        <w:rPr>
          <w:rFonts w:ascii="Segoe UI" w:hAnsi="Segoe UI" w:cs="Segoe UI"/>
          <w:sz w:val="20"/>
          <w:szCs w:val="20"/>
        </w:rPr>
        <w:t>5</w:t>
      </w:r>
      <w:r w:rsidRPr="00D84F3E">
        <w:rPr>
          <w:rFonts w:ascii="Segoe UI" w:hAnsi="Segoe UI" w:cs="Segoe UI"/>
          <w:sz w:val="20"/>
          <w:szCs w:val="20"/>
        </w:rPr>
        <w:t>, será realizado juntamente com a parcela prevista no Programa de Participação nos Resultados negociado no presente Acordo Coletivo, até o processamento da folha de pagamento do mês de março de 202</w:t>
      </w:r>
      <w:r w:rsidR="00694096">
        <w:rPr>
          <w:rFonts w:ascii="Segoe UI" w:hAnsi="Segoe UI" w:cs="Segoe UI"/>
          <w:sz w:val="20"/>
          <w:szCs w:val="20"/>
        </w:rPr>
        <w:t>6</w:t>
      </w:r>
      <w:r w:rsidRPr="00D84F3E">
        <w:rPr>
          <w:rFonts w:ascii="Segoe UI" w:hAnsi="Segoe UI" w:cs="Segoe UI"/>
          <w:sz w:val="20"/>
          <w:szCs w:val="20"/>
        </w:rPr>
        <w:t>, prevalecendo esta data em relação ao que foi negociado na Convenção Coletiva de Trabalho - Participação dos Empregados nos Lucros ou Resultados dos Bancos (</w:t>
      </w:r>
      <w:r w:rsidR="004B673E">
        <w:rPr>
          <w:rFonts w:ascii="Segoe UI" w:hAnsi="Segoe UI" w:cs="Segoe UI"/>
          <w:sz w:val="20"/>
          <w:szCs w:val="20"/>
        </w:rPr>
        <w:t>PLR 2025</w:t>
      </w:r>
      <w:r w:rsidRPr="00D84F3E">
        <w:rPr>
          <w:rFonts w:ascii="Segoe UI" w:hAnsi="Segoe UI" w:cs="Segoe UI"/>
          <w:sz w:val="20"/>
          <w:szCs w:val="20"/>
        </w:rPr>
        <w:t>) e no Acordo Coletivo de Trabalho – Banrisul Aditivo à Convenção Coletiva de Trabalho 2024/2026</w:t>
      </w:r>
      <w:r w:rsidR="00694096">
        <w:rPr>
          <w:rFonts w:ascii="Segoe UI" w:hAnsi="Segoe UI" w:cs="Segoe UI"/>
          <w:sz w:val="20"/>
          <w:szCs w:val="20"/>
        </w:rPr>
        <w:t xml:space="preserve"> </w:t>
      </w:r>
      <w:r w:rsidR="00694096" w:rsidRPr="00694096">
        <w:rPr>
          <w:rFonts w:ascii="Segoe UI" w:hAnsi="Segoe UI" w:cs="Segoe UI"/>
          <w:sz w:val="20"/>
          <w:szCs w:val="20"/>
        </w:rPr>
        <w:t>(</w:t>
      </w:r>
      <w:r w:rsidR="004B673E">
        <w:rPr>
          <w:rFonts w:ascii="Segoe UI" w:hAnsi="Segoe UI" w:cs="Segoe UI"/>
          <w:sz w:val="20"/>
          <w:szCs w:val="20"/>
        </w:rPr>
        <w:t>PLR</w:t>
      </w:r>
      <w:r w:rsidR="00C07BBF">
        <w:rPr>
          <w:rFonts w:ascii="Segoe UI" w:hAnsi="Segoe UI" w:cs="Segoe UI"/>
          <w:sz w:val="20"/>
          <w:szCs w:val="20"/>
        </w:rPr>
        <w:t xml:space="preserve"> Adicional Banrisul </w:t>
      </w:r>
      <w:r w:rsidR="004B673E">
        <w:rPr>
          <w:rFonts w:ascii="Segoe UI" w:hAnsi="Segoe UI" w:cs="Segoe UI"/>
          <w:sz w:val="20"/>
          <w:szCs w:val="20"/>
        </w:rPr>
        <w:t>2025</w:t>
      </w:r>
      <w:r w:rsidR="00694096" w:rsidRPr="00694096">
        <w:rPr>
          <w:rFonts w:ascii="Segoe UI" w:hAnsi="Segoe UI" w:cs="Segoe UI"/>
          <w:sz w:val="20"/>
          <w:szCs w:val="20"/>
        </w:rPr>
        <w:t>)</w:t>
      </w:r>
      <w:r w:rsidRPr="00D84F3E">
        <w:rPr>
          <w:rFonts w:ascii="Segoe UI" w:hAnsi="Segoe UI" w:cs="Segoe UI"/>
          <w:sz w:val="20"/>
          <w:szCs w:val="20"/>
        </w:rPr>
        <w:t>.</w:t>
      </w:r>
    </w:p>
    <w:p w14:paraId="1DDF1564" w14:textId="242E5F2A" w:rsidR="00ED74F2" w:rsidRPr="00694096" w:rsidRDefault="00ED74F2" w:rsidP="000F05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jc w:val="both"/>
        <w:rPr>
          <w:rFonts w:ascii="Segoe UI" w:hAnsi="Segoe UI" w:cs="Segoe UI"/>
          <w:sz w:val="20"/>
          <w:szCs w:val="20"/>
        </w:rPr>
      </w:pPr>
      <w:r w:rsidRPr="00D84F3E">
        <w:rPr>
          <w:rFonts w:ascii="Segoe UI" w:hAnsi="Segoe UI" w:cs="Segoe UI"/>
          <w:color w:val="000000" w:themeColor="text1"/>
          <w:sz w:val="20"/>
          <w:szCs w:val="20"/>
        </w:rPr>
        <w:t xml:space="preserve">Parágrafo </w:t>
      </w:r>
      <w:r>
        <w:rPr>
          <w:rFonts w:ascii="Segoe UI" w:hAnsi="Segoe UI" w:cs="Segoe UI"/>
          <w:color w:val="000000" w:themeColor="text1"/>
          <w:sz w:val="20"/>
          <w:szCs w:val="20"/>
        </w:rPr>
        <w:t>quarto</w:t>
      </w:r>
      <w:r w:rsidRPr="00D84F3E">
        <w:rPr>
          <w:rFonts w:ascii="Segoe UI" w:hAnsi="Segoe UI" w:cs="Segoe UI"/>
          <w:color w:val="000000" w:themeColor="text1"/>
          <w:sz w:val="20"/>
          <w:szCs w:val="20"/>
        </w:rPr>
        <w:t xml:space="preserve"> </w:t>
      </w:r>
      <w:r w:rsidRPr="00D84F3E">
        <w:rPr>
          <w:rFonts w:ascii="Segoe UI" w:hAnsi="Segoe UI" w:cs="Segoe UI"/>
          <w:sz w:val="20"/>
          <w:szCs w:val="20"/>
        </w:rPr>
        <w:t>- Caso o Banco apresente prejuízo no</w:t>
      </w:r>
      <w:r>
        <w:rPr>
          <w:rFonts w:ascii="Segoe UI" w:hAnsi="Segoe UI" w:cs="Segoe UI"/>
          <w:sz w:val="20"/>
          <w:szCs w:val="20"/>
        </w:rPr>
        <w:t>s</w:t>
      </w:r>
      <w:r w:rsidRPr="00D84F3E">
        <w:rPr>
          <w:rFonts w:ascii="Segoe UI" w:hAnsi="Segoe UI" w:cs="Segoe UI"/>
          <w:sz w:val="20"/>
          <w:szCs w:val="20"/>
        </w:rPr>
        <w:t xml:space="preserve"> período</w:t>
      </w:r>
      <w:r>
        <w:rPr>
          <w:rFonts w:ascii="Segoe UI" w:hAnsi="Segoe UI" w:cs="Segoe UI"/>
          <w:sz w:val="20"/>
          <w:szCs w:val="20"/>
        </w:rPr>
        <w:t>s</w:t>
      </w:r>
      <w:r w:rsidRPr="00D84F3E">
        <w:rPr>
          <w:rFonts w:ascii="Segoe UI" w:hAnsi="Segoe UI" w:cs="Segoe UI"/>
          <w:sz w:val="20"/>
          <w:szCs w:val="20"/>
        </w:rPr>
        <w:t xml:space="preserve"> de apuração constante</w:t>
      </w:r>
      <w:r w:rsidR="00694096">
        <w:rPr>
          <w:rFonts w:ascii="Segoe UI" w:hAnsi="Segoe UI" w:cs="Segoe UI"/>
          <w:sz w:val="20"/>
          <w:szCs w:val="20"/>
        </w:rPr>
        <w:t>s</w:t>
      </w:r>
      <w:r w:rsidRPr="00D84F3E">
        <w:rPr>
          <w:rFonts w:ascii="Segoe UI" w:hAnsi="Segoe UI" w:cs="Segoe UI"/>
          <w:sz w:val="20"/>
          <w:szCs w:val="20"/>
        </w:rPr>
        <w:t xml:space="preserve"> no caput</w:t>
      </w:r>
      <w:r w:rsidR="00694096">
        <w:rPr>
          <w:rFonts w:ascii="Segoe UI" w:hAnsi="Segoe UI" w:cs="Segoe UI"/>
          <w:sz w:val="20"/>
          <w:szCs w:val="20"/>
        </w:rPr>
        <w:t xml:space="preserve"> </w:t>
      </w:r>
      <w:r w:rsidR="004C26A9">
        <w:rPr>
          <w:rFonts w:ascii="Segoe UI" w:hAnsi="Segoe UI" w:cs="Segoe UI"/>
          <w:sz w:val="20"/>
          <w:szCs w:val="20"/>
        </w:rPr>
        <w:t>(</w:t>
      </w:r>
      <w:r w:rsidR="006A5099">
        <w:rPr>
          <w:rFonts w:ascii="Segoe UI" w:hAnsi="Segoe UI" w:cs="Segoe UI"/>
          <w:sz w:val="20"/>
          <w:szCs w:val="20"/>
        </w:rPr>
        <w:t>PPR 2024</w:t>
      </w:r>
      <w:r w:rsidR="004C26A9">
        <w:rPr>
          <w:rFonts w:ascii="Segoe UI" w:hAnsi="Segoe UI" w:cs="Segoe UI"/>
          <w:sz w:val="20"/>
          <w:szCs w:val="20"/>
        </w:rPr>
        <w:t xml:space="preserve">) </w:t>
      </w:r>
      <w:r w:rsidR="00694096">
        <w:rPr>
          <w:rFonts w:ascii="Segoe UI" w:hAnsi="Segoe UI" w:cs="Segoe UI"/>
          <w:sz w:val="20"/>
          <w:szCs w:val="20"/>
        </w:rPr>
        <w:t>e no parágrafo segundo</w:t>
      </w:r>
      <w:r w:rsidR="004C26A9">
        <w:rPr>
          <w:rFonts w:ascii="Segoe UI" w:hAnsi="Segoe UI" w:cs="Segoe UI"/>
          <w:sz w:val="20"/>
          <w:szCs w:val="20"/>
        </w:rPr>
        <w:t xml:space="preserve"> (</w:t>
      </w:r>
      <w:r w:rsidR="006A5099">
        <w:rPr>
          <w:rFonts w:ascii="Segoe UI" w:hAnsi="Segoe UI" w:cs="Segoe UI"/>
          <w:sz w:val="20"/>
          <w:szCs w:val="20"/>
        </w:rPr>
        <w:t>PPR 2025</w:t>
      </w:r>
      <w:r w:rsidR="004C26A9">
        <w:rPr>
          <w:rFonts w:ascii="Segoe UI" w:hAnsi="Segoe UI" w:cs="Segoe UI"/>
          <w:sz w:val="20"/>
          <w:szCs w:val="20"/>
        </w:rPr>
        <w:t>)</w:t>
      </w:r>
      <w:r w:rsidRPr="00D84F3E">
        <w:rPr>
          <w:rFonts w:ascii="Segoe UI" w:hAnsi="Segoe UI" w:cs="Segoe UI"/>
          <w:sz w:val="20"/>
          <w:szCs w:val="20"/>
        </w:rPr>
        <w:t xml:space="preserve"> desta cláusula, nada será devido a título de participação nos resultados objeto deste instrumento coletivo.</w:t>
      </w:r>
    </w:p>
    <w:bookmarkEnd w:id="3"/>
    <w:p w14:paraId="21160999" w14:textId="77777777" w:rsidR="000F1755" w:rsidRPr="00382B47" w:rsidRDefault="000F1755" w:rsidP="000F0542">
      <w:pPr>
        <w:pStyle w:val="Ttulo7"/>
        <w:spacing w:after="200"/>
        <w:jc w:val="both"/>
        <w:rPr>
          <w:rFonts w:ascii="Segoe UI" w:hAnsi="Segoe UI" w:cs="Segoe UI"/>
          <w:i w:val="0"/>
          <w:sz w:val="20"/>
          <w:u w:val="single"/>
        </w:rPr>
      </w:pPr>
    </w:p>
    <w:p w14:paraId="657AEC93" w14:textId="7A2B96E7" w:rsidR="000F1755" w:rsidRPr="00382B47" w:rsidRDefault="00E92753" w:rsidP="00E92753">
      <w:pPr>
        <w:spacing w:after="200" w:line="240" w:lineRule="auto"/>
        <w:jc w:val="both"/>
        <w:rPr>
          <w:rFonts w:ascii="Segoe UI" w:hAnsi="Segoe UI" w:cs="Segoe UI"/>
          <w:b/>
          <w:bCs/>
          <w:sz w:val="20"/>
          <w:szCs w:val="20"/>
        </w:rPr>
      </w:pPr>
      <w:r w:rsidRPr="00382B47">
        <w:rPr>
          <w:rFonts w:ascii="Segoe UI" w:hAnsi="Segoe UI" w:cs="Segoe UI"/>
          <w:b/>
          <w:bCs/>
          <w:sz w:val="20"/>
          <w:szCs w:val="20"/>
        </w:rPr>
        <w:t xml:space="preserve">CLÁUSULA </w:t>
      </w:r>
      <w:r w:rsidR="0004471F">
        <w:rPr>
          <w:rFonts w:ascii="Segoe UI" w:hAnsi="Segoe UI" w:cs="Segoe UI"/>
          <w:b/>
          <w:bCs/>
          <w:sz w:val="20"/>
          <w:szCs w:val="20"/>
        </w:rPr>
        <w:t>QUINZE</w:t>
      </w:r>
      <w:r w:rsidRPr="00382B47">
        <w:rPr>
          <w:rFonts w:ascii="Segoe UI" w:hAnsi="Segoe UI" w:cs="Segoe UI"/>
          <w:b/>
          <w:bCs/>
          <w:sz w:val="20"/>
          <w:szCs w:val="20"/>
        </w:rPr>
        <w:t xml:space="preserve"> – DA NATUREZA NÃO REMUNERATÓRIA</w:t>
      </w:r>
    </w:p>
    <w:p w14:paraId="37D2B3DF" w14:textId="77777777" w:rsidR="000F1755" w:rsidRPr="00382B47" w:rsidRDefault="000F1755" w:rsidP="000F0542">
      <w:pPr>
        <w:pStyle w:val="Corpodetexto3"/>
        <w:spacing w:after="200"/>
        <w:jc w:val="both"/>
        <w:rPr>
          <w:rFonts w:ascii="Segoe UI" w:hAnsi="Segoe UI" w:cs="Segoe UI"/>
          <w:sz w:val="20"/>
          <w:szCs w:val="20"/>
        </w:rPr>
      </w:pPr>
      <w:r w:rsidRPr="00382B47">
        <w:rPr>
          <w:rFonts w:ascii="Segoe UI" w:hAnsi="Segoe UI" w:cs="Segoe UI"/>
          <w:sz w:val="20"/>
          <w:szCs w:val="20"/>
        </w:rPr>
        <w:t>Os valores pagos a título de participação nos resultados do BANRISUL não integram, não substituem e não complementam, em qualquer hipótese, a remuneração dos empregados, nem constituem base de incidência de qualquer encargo trabalhista ou previdenciário, não se lhes aplicando o princípio da habitualidade, nos termos da Lei nº 10.101, de 19/12/2000.</w:t>
      </w:r>
    </w:p>
    <w:p w14:paraId="63DEC1CD" w14:textId="77777777" w:rsidR="00175518" w:rsidRDefault="00175518" w:rsidP="00E92753">
      <w:pPr>
        <w:spacing w:after="200" w:line="240" w:lineRule="auto"/>
        <w:jc w:val="both"/>
        <w:rPr>
          <w:rFonts w:ascii="Segoe UI" w:hAnsi="Segoe UI" w:cs="Segoe UI"/>
          <w:b/>
          <w:bCs/>
          <w:sz w:val="20"/>
          <w:szCs w:val="20"/>
        </w:rPr>
      </w:pPr>
    </w:p>
    <w:p w14:paraId="469BB389" w14:textId="456C1517" w:rsidR="000F1755" w:rsidRPr="00382B47" w:rsidRDefault="00E92753" w:rsidP="00E92753">
      <w:pPr>
        <w:spacing w:after="200" w:line="240" w:lineRule="auto"/>
        <w:jc w:val="both"/>
        <w:rPr>
          <w:rFonts w:ascii="Segoe UI" w:hAnsi="Segoe UI" w:cs="Segoe UI"/>
          <w:b/>
          <w:bCs/>
          <w:sz w:val="20"/>
          <w:szCs w:val="20"/>
        </w:rPr>
      </w:pPr>
      <w:r w:rsidRPr="00382B47">
        <w:rPr>
          <w:rFonts w:ascii="Segoe UI" w:hAnsi="Segoe UI" w:cs="Segoe UI"/>
          <w:b/>
          <w:bCs/>
          <w:sz w:val="20"/>
          <w:szCs w:val="20"/>
        </w:rPr>
        <w:t xml:space="preserve">CLÁUSULA </w:t>
      </w:r>
      <w:r w:rsidR="00640612">
        <w:rPr>
          <w:rFonts w:ascii="Segoe UI" w:hAnsi="Segoe UI" w:cs="Segoe UI"/>
          <w:b/>
          <w:bCs/>
          <w:sz w:val="20"/>
          <w:szCs w:val="20"/>
        </w:rPr>
        <w:t>DEZESSE</w:t>
      </w:r>
      <w:r w:rsidR="0004471F">
        <w:rPr>
          <w:rFonts w:ascii="Segoe UI" w:hAnsi="Segoe UI" w:cs="Segoe UI"/>
          <w:b/>
          <w:bCs/>
          <w:sz w:val="20"/>
          <w:szCs w:val="20"/>
        </w:rPr>
        <w:t>IS</w:t>
      </w:r>
      <w:r w:rsidR="00640612">
        <w:rPr>
          <w:rFonts w:ascii="Segoe UI" w:hAnsi="Segoe UI" w:cs="Segoe UI"/>
          <w:b/>
          <w:bCs/>
          <w:sz w:val="20"/>
          <w:szCs w:val="20"/>
        </w:rPr>
        <w:t xml:space="preserve"> </w:t>
      </w:r>
      <w:r w:rsidRPr="00382B47">
        <w:rPr>
          <w:rFonts w:ascii="Segoe UI" w:hAnsi="Segoe UI" w:cs="Segoe UI"/>
          <w:b/>
          <w:bCs/>
          <w:sz w:val="20"/>
          <w:szCs w:val="20"/>
        </w:rPr>
        <w:t>– DO SIGILO DAS INFORMAÇÕES</w:t>
      </w:r>
    </w:p>
    <w:p w14:paraId="5E435B0C" w14:textId="77777777" w:rsidR="000F1755" w:rsidRPr="00382B47" w:rsidRDefault="000F1755" w:rsidP="000F0542">
      <w:pPr>
        <w:spacing w:after="200" w:line="240" w:lineRule="auto"/>
        <w:jc w:val="both"/>
        <w:rPr>
          <w:rFonts w:ascii="Segoe UI" w:hAnsi="Segoe UI" w:cs="Segoe UI"/>
          <w:sz w:val="20"/>
          <w:szCs w:val="20"/>
        </w:rPr>
      </w:pPr>
      <w:r w:rsidRPr="00382B47">
        <w:rPr>
          <w:rFonts w:ascii="Segoe UI" w:hAnsi="Segoe UI" w:cs="Segoe UI"/>
          <w:sz w:val="20"/>
          <w:szCs w:val="20"/>
        </w:rPr>
        <w:t>As Entidades Sindicais Profissionais e todos os participantes do Programa de Participação nos Resultados se obrigam a manter sigilo sobre todas as informações recebidas em conexão com o Programa, especialmente em relação aos indicadores e respectivas metas, que são de natureza estratégica para o BANRISUL, por traduzir o desempenho e os resultados do Banco.</w:t>
      </w:r>
    </w:p>
    <w:p w14:paraId="5908B1C0" w14:textId="77777777" w:rsidR="000F1755" w:rsidRPr="00382B47" w:rsidRDefault="000F1755" w:rsidP="000F0542">
      <w:pPr>
        <w:spacing w:after="200" w:line="240" w:lineRule="auto"/>
        <w:jc w:val="both"/>
        <w:rPr>
          <w:rFonts w:ascii="Segoe UI" w:hAnsi="Segoe UI" w:cs="Segoe UI"/>
          <w:sz w:val="20"/>
          <w:szCs w:val="20"/>
        </w:rPr>
      </w:pPr>
    </w:p>
    <w:p w14:paraId="3D97FD26" w14:textId="3E9AFD34" w:rsidR="000F1755" w:rsidRPr="00382B47" w:rsidRDefault="000F1755" w:rsidP="000F0542">
      <w:pPr>
        <w:spacing w:after="200" w:line="240" w:lineRule="auto"/>
        <w:jc w:val="both"/>
        <w:rPr>
          <w:rFonts w:ascii="Segoe UI" w:hAnsi="Segoe UI" w:cs="Segoe UI"/>
          <w:b/>
          <w:caps/>
          <w:sz w:val="20"/>
          <w:szCs w:val="20"/>
        </w:rPr>
      </w:pPr>
      <w:r w:rsidRPr="00382B47">
        <w:rPr>
          <w:rFonts w:ascii="Segoe UI" w:hAnsi="Segoe UI" w:cs="Segoe UI"/>
          <w:b/>
          <w:caps/>
          <w:sz w:val="20"/>
          <w:szCs w:val="20"/>
        </w:rPr>
        <w:t xml:space="preserve">cláusula </w:t>
      </w:r>
      <w:r w:rsidR="00640612">
        <w:rPr>
          <w:rFonts w:ascii="Segoe UI" w:hAnsi="Segoe UI" w:cs="Segoe UI"/>
          <w:b/>
          <w:caps/>
          <w:sz w:val="20"/>
          <w:szCs w:val="20"/>
        </w:rPr>
        <w:t>DEZ</w:t>
      </w:r>
      <w:r w:rsidR="0004471F">
        <w:rPr>
          <w:rFonts w:ascii="Segoe UI" w:hAnsi="Segoe UI" w:cs="Segoe UI"/>
          <w:b/>
          <w:caps/>
          <w:sz w:val="20"/>
          <w:szCs w:val="20"/>
        </w:rPr>
        <w:t>ESETE</w:t>
      </w:r>
      <w:r w:rsidR="00537A6D">
        <w:rPr>
          <w:rFonts w:ascii="Segoe UI" w:hAnsi="Segoe UI" w:cs="Segoe UI"/>
          <w:b/>
          <w:caps/>
          <w:sz w:val="20"/>
          <w:szCs w:val="20"/>
        </w:rPr>
        <w:t xml:space="preserve"> </w:t>
      </w:r>
      <w:r w:rsidRPr="00382B47">
        <w:rPr>
          <w:rFonts w:ascii="Segoe UI" w:hAnsi="Segoe UI" w:cs="Segoe UI"/>
          <w:b/>
          <w:caps/>
          <w:sz w:val="20"/>
          <w:szCs w:val="20"/>
        </w:rPr>
        <w:t>– Dos precedentes não invocáveis</w:t>
      </w:r>
    </w:p>
    <w:p w14:paraId="0AD771F3" w14:textId="77777777" w:rsidR="000F1755" w:rsidRPr="00382B47" w:rsidRDefault="000F1755" w:rsidP="000F0542">
      <w:pPr>
        <w:spacing w:after="200" w:line="240" w:lineRule="auto"/>
        <w:jc w:val="both"/>
        <w:rPr>
          <w:rFonts w:ascii="Segoe UI" w:hAnsi="Segoe UI" w:cs="Segoe UI"/>
          <w:sz w:val="20"/>
          <w:szCs w:val="20"/>
        </w:rPr>
      </w:pPr>
      <w:r w:rsidRPr="00382B47">
        <w:rPr>
          <w:rFonts w:ascii="Segoe UI" w:hAnsi="Segoe UI" w:cs="Segoe UI"/>
          <w:sz w:val="20"/>
          <w:szCs w:val="20"/>
        </w:rPr>
        <w:t>Nos termos dispostos na Lei nº 10.101/2000, ao Programa de Participação nos Resultados não se aplica o princípio da habitualidade, razão pela qual todo e qualquer valor liberado sob esse título estará diretamente atrelado ao cumprimento dos objetivos aqui previstos. As partes reconhecem que os objetivos de desempenho e financeiros aqui negociados e estabelecidos são específicos ao Período de Apuração e, portanto, não serão automaticamente renovadas, nem constituirão direito adquirido para negociações e possíveis acordos futuros, nem se constituirão em precedente invocável para a negociação de futuros acordos da forma de participação dos trabalhadores nos resultados do BANRISUL.</w:t>
      </w:r>
    </w:p>
    <w:p w14:paraId="063B3446" w14:textId="04C72B80" w:rsidR="000F1755" w:rsidRDefault="000F1755" w:rsidP="000F0542">
      <w:pPr>
        <w:spacing w:after="200" w:line="240" w:lineRule="auto"/>
        <w:jc w:val="both"/>
        <w:rPr>
          <w:rFonts w:ascii="Segoe UI" w:hAnsi="Segoe UI" w:cs="Segoe UI"/>
          <w:sz w:val="20"/>
          <w:szCs w:val="20"/>
        </w:rPr>
      </w:pPr>
    </w:p>
    <w:p w14:paraId="28510F5D" w14:textId="61B1FDA3" w:rsidR="000F1755" w:rsidRPr="00382B47" w:rsidRDefault="000F1755" w:rsidP="000F0542">
      <w:pPr>
        <w:spacing w:after="200" w:line="240" w:lineRule="auto"/>
        <w:jc w:val="both"/>
        <w:rPr>
          <w:rFonts w:ascii="Segoe UI" w:hAnsi="Segoe UI" w:cs="Segoe UI"/>
          <w:b/>
          <w:caps/>
          <w:sz w:val="20"/>
          <w:szCs w:val="20"/>
        </w:rPr>
      </w:pPr>
      <w:r w:rsidRPr="00382B47">
        <w:rPr>
          <w:rFonts w:ascii="Segoe UI" w:hAnsi="Segoe UI" w:cs="Segoe UI"/>
          <w:b/>
          <w:caps/>
          <w:sz w:val="20"/>
          <w:szCs w:val="20"/>
        </w:rPr>
        <w:t xml:space="preserve">CLÁUSULA </w:t>
      </w:r>
      <w:r w:rsidR="00640612">
        <w:rPr>
          <w:rFonts w:ascii="Segoe UI" w:hAnsi="Segoe UI" w:cs="Segoe UI"/>
          <w:b/>
          <w:caps/>
          <w:sz w:val="20"/>
          <w:szCs w:val="20"/>
        </w:rPr>
        <w:t>DEZ</w:t>
      </w:r>
      <w:r w:rsidR="00220E1B">
        <w:rPr>
          <w:rFonts w:ascii="Segoe UI" w:hAnsi="Segoe UI" w:cs="Segoe UI"/>
          <w:b/>
          <w:caps/>
          <w:sz w:val="20"/>
          <w:szCs w:val="20"/>
        </w:rPr>
        <w:t>oi</w:t>
      </w:r>
      <w:r w:rsidR="0004471F">
        <w:rPr>
          <w:rFonts w:ascii="Segoe UI" w:hAnsi="Segoe UI" w:cs="Segoe UI"/>
          <w:b/>
          <w:caps/>
          <w:sz w:val="20"/>
          <w:szCs w:val="20"/>
        </w:rPr>
        <w:t>TO</w:t>
      </w:r>
      <w:r w:rsidR="00537A6D">
        <w:rPr>
          <w:rFonts w:ascii="Segoe UI" w:hAnsi="Segoe UI" w:cs="Segoe UI"/>
          <w:b/>
          <w:caps/>
          <w:sz w:val="20"/>
          <w:szCs w:val="20"/>
        </w:rPr>
        <w:t xml:space="preserve"> </w:t>
      </w:r>
      <w:r w:rsidRPr="00382B47">
        <w:rPr>
          <w:rFonts w:ascii="Segoe UI" w:hAnsi="Segoe UI" w:cs="Segoe UI"/>
          <w:b/>
          <w:caps/>
          <w:sz w:val="20"/>
          <w:szCs w:val="20"/>
        </w:rPr>
        <w:t>– Dos princípios que regem o Acordo</w:t>
      </w:r>
    </w:p>
    <w:p w14:paraId="48C72386" w14:textId="46396AB3" w:rsidR="000F1755" w:rsidRDefault="000F1755" w:rsidP="000F0542">
      <w:pPr>
        <w:spacing w:after="200" w:line="240" w:lineRule="auto"/>
        <w:jc w:val="both"/>
        <w:rPr>
          <w:rFonts w:ascii="Segoe UI" w:hAnsi="Segoe UI" w:cs="Segoe UI"/>
          <w:sz w:val="20"/>
          <w:szCs w:val="20"/>
        </w:rPr>
      </w:pPr>
      <w:r w:rsidRPr="00382B47">
        <w:rPr>
          <w:rFonts w:ascii="Segoe UI" w:hAnsi="Segoe UI" w:cs="Segoe UI"/>
          <w:sz w:val="20"/>
          <w:szCs w:val="20"/>
        </w:rPr>
        <w:t>As partes declaram, por fim, que o presente acordo é firmado, em todos os seus termos, com base na lei e nos princípios de mútuo respeito, transparência, honestidade e parceria na consecução dos objetivos ora propostos, sendo possível a denúncia deste acordo caso qualquer das partes venha a infringir quaisquer desses princípios.</w:t>
      </w:r>
    </w:p>
    <w:p w14:paraId="23BF36F6" w14:textId="77777777" w:rsidR="00C510C4" w:rsidRPr="00382B47" w:rsidRDefault="00C510C4" w:rsidP="000F0542">
      <w:pPr>
        <w:spacing w:after="200" w:line="240" w:lineRule="auto"/>
        <w:jc w:val="both"/>
        <w:rPr>
          <w:rFonts w:ascii="Segoe UI" w:hAnsi="Segoe UI" w:cs="Segoe UI"/>
          <w:sz w:val="20"/>
          <w:szCs w:val="20"/>
        </w:rPr>
      </w:pPr>
    </w:p>
    <w:p w14:paraId="1F40B521" w14:textId="1A4E2810" w:rsidR="000F1755" w:rsidRPr="00382B47" w:rsidRDefault="000F1755" w:rsidP="000F0542">
      <w:pPr>
        <w:spacing w:after="200" w:line="240" w:lineRule="auto"/>
        <w:jc w:val="both"/>
        <w:rPr>
          <w:rFonts w:ascii="Segoe UI" w:hAnsi="Segoe UI" w:cs="Segoe UI"/>
          <w:b/>
          <w:bCs/>
          <w:sz w:val="20"/>
          <w:szCs w:val="20"/>
        </w:rPr>
      </w:pPr>
      <w:r w:rsidRPr="00382B47">
        <w:rPr>
          <w:rFonts w:ascii="Segoe UI" w:hAnsi="Segoe UI" w:cs="Segoe UI"/>
          <w:b/>
          <w:bCs/>
          <w:sz w:val="20"/>
          <w:szCs w:val="20"/>
        </w:rPr>
        <w:t xml:space="preserve">CLÁUSULA </w:t>
      </w:r>
      <w:r w:rsidR="0004471F">
        <w:rPr>
          <w:rFonts w:ascii="Segoe UI" w:hAnsi="Segoe UI" w:cs="Segoe UI"/>
          <w:b/>
          <w:bCs/>
          <w:sz w:val="20"/>
          <w:szCs w:val="20"/>
        </w:rPr>
        <w:t>DEZENOVE</w:t>
      </w:r>
      <w:r w:rsidRPr="00382B47">
        <w:rPr>
          <w:rFonts w:ascii="Segoe UI" w:hAnsi="Segoe UI" w:cs="Segoe UI"/>
          <w:b/>
          <w:bCs/>
          <w:sz w:val="20"/>
          <w:szCs w:val="20"/>
        </w:rPr>
        <w:t xml:space="preserve"> – DISPOSIÇÕES GERAIS</w:t>
      </w:r>
    </w:p>
    <w:p w14:paraId="107176CD" w14:textId="5C09C2BA" w:rsidR="000F1755" w:rsidRPr="00382B47" w:rsidRDefault="000F1755" w:rsidP="000F0542">
      <w:pPr>
        <w:pStyle w:val="Ttulo7"/>
        <w:keepNext w:val="0"/>
        <w:spacing w:after="200"/>
        <w:jc w:val="both"/>
        <w:rPr>
          <w:rFonts w:ascii="Segoe UI" w:hAnsi="Segoe UI" w:cs="Segoe UI"/>
          <w:sz w:val="20"/>
          <w:lang w:val="x-none" w:eastAsia="x-none"/>
        </w:rPr>
      </w:pPr>
      <w:r w:rsidRPr="00382B47">
        <w:rPr>
          <w:rFonts w:ascii="Segoe UI" w:hAnsi="Segoe UI" w:cs="Segoe UI"/>
          <w:bCs/>
          <w:i w:val="0"/>
          <w:sz w:val="20"/>
        </w:rPr>
        <w:t>O presente Acordo somente poderá ser revisto por meio de negociação entre as Partes, sendo vedada qualquer modificação unilateral de seu conteúdo.</w:t>
      </w:r>
    </w:p>
    <w:p w14:paraId="17828035" w14:textId="79AC3E5A" w:rsidR="000F1755" w:rsidRDefault="000F1755" w:rsidP="000F0542">
      <w:pPr>
        <w:spacing w:after="200" w:line="240" w:lineRule="auto"/>
        <w:jc w:val="both"/>
        <w:rPr>
          <w:rFonts w:ascii="Segoe UI" w:hAnsi="Segoe UI" w:cs="Segoe UI"/>
          <w:bCs/>
          <w:sz w:val="20"/>
          <w:szCs w:val="20"/>
        </w:rPr>
      </w:pPr>
      <w:r w:rsidRPr="00382B47">
        <w:rPr>
          <w:rFonts w:ascii="Segoe UI" w:hAnsi="Segoe UI" w:cs="Segoe UI"/>
          <w:bCs/>
          <w:sz w:val="20"/>
          <w:szCs w:val="20"/>
        </w:rPr>
        <w:t>Parágrafo único</w:t>
      </w:r>
      <w:r w:rsidR="00E92753" w:rsidRPr="00382B47">
        <w:rPr>
          <w:rFonts w:ascii="Segoe UI" w:hAnsi="Segoe UI" w:cs="Segoe UI"/>
          <w:bCs/>
          <w:sz w:val="20"/>
          <w:szCs w:val="20"/>
        </w:rPr>
        <w:t xml:space="preserve"> - </w:t>
      </w:r>
      <w:r w:rsidRPr="00382B47">
        <w:rPr>
          <w:rFonts w:ascii="Segoe UI" w:hAnsi="Segoe UI" w:cs="Segoe UI"/>
          <w:bCs/>
          <w:sz w:val="20"/>
          <w:szCs w:val="20"/>
        </w:rPr>
        <w:t>Caso, por força de legislação superveniente, bem como por decisão da Justiça do Trabalho e, somente nessas situações, houver qualquer alteração nas regras do valor do pagamento ou das condições do PPR, as partes se reunirão para negociar e definir de que forma ocorrerá o pagamento aos empregados(as), sendo vedada qualquer modificação unilateral.</w:t>
      </w:r>
    </w:p>
    <w:p w14:paraId="5FE0EB5E" w14:textId="77777777" w:rsidR="00C510C4" w:rsidRPr="00382B47" w:rsidRDefault="00C510C4" w:rsidP="000F0542">
      <w:pPr>
        <w:spacing w:after="200" w:line="240" w:lineRule="auto"/>
        <w:jc w:val="both"/>
        <w:rPr>
          <w:rFonts w:ascii="Segoe UI" w:hAnsi="Segoe UI" w:cs="Segoe UI"/>
          <w:bCs/>
          <w:sz w:val="20"/>
          <w:szCs w:val="20"/>
        </w:rPr>
      </w:pPr>
    </w:p>
    <w:p w14:paraId="4ED498AB" w14:textId="4363BA8A" w:rsidR="000F1755" w:rsidRPr="00382B47" w:rsidRDefault="000F1755" w:rsidP="000F05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jc w:val="both"/>
        <w:rPr>
          <w:rFonts w:ascii="Segoe UI" w:hAnsi="Segoe UI" w:cs="Segoe UI"/>
          <w:b/>
          <w:sz w:val="20"/>
          <w:szCs w:val="20"/>
        </w:rPr>
      </w:pPr>
      <w:r w:rsidRPr="00382B47">
        <w:rPr>
          <w:rFonts w:ascii="Segoe UI" w:hAnsi="Segoe UI" w:cs="Segoe UI"/>
          <w:b/>
          <w:sz w:val="20"/>
          <w:szCs w:val="20"/>
        </w:rPr>
        <w:t xml:space="preserve">CLÁUSULA </w:t>
      </w:r>
      <w:r w:rsidR="00640612">
        <w:rPr>
          <w:rFonts w:ascii="Segoe UI" w:hAnsi="Segoe UI" w:cs="Segoe UI"/>
          <w:b/>
          <w:sz w:val="20"/>
          <w:szCs w:val="20"/>
        </w:rPr>
        <w:t>VINTE</w:t>
      </w:r>
      <w:r w:rsidRPr="00382B47">
        <w:rPr>
          <w:rFonts w:ascii="Segoe UI" w:hAnsi="Segoe UI" w:cs="Segoe UI"/>
          <w:b/>
          <w:sz w:val="20"/>
          <w:szCs w:val="20"/>
        </w:rPr>
        <w:t>– MECANISMO DE SOLUÇÃO DE CONFLITOS</w:t>
      </w:r>
    </w:p>
    <w:p w14:paraId="4CF1ABBE" w14:textId="52B26BE9" w:rsidR="000F1755" w:rsidRDefault="000F1755" w:rsidP="000F05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jc w:val="both"/>
        <w:rPr>
          <w:rFonts w:ascii="Segoe UI" w:hAnsi="Segoe UI" w:cs="Segoe UI"/>
          <w:sz w:val="20"/>
          <w:szCs w:val="20"/>
        </w:rPr>
      </w:pPr>
      <w:r w:rsidRPr="00382B47">
        <w:rPr>
          <w:rFonts w:ascii="Segoe UI" w:hAnsi="Segoe UI" w:cs="Segoe UI"/>
          <w:sz w:val="20"/>
          <w:szCs w:val="20"/>
        </w:rPr>
        <w:t>Na hipótese de divergência no cumprimento deste Acordo, as partes visando o entendimento e a conciliação, se comprometem, pela ordem, a negociar diretamente entre si, sendo vedada a alteração unilateral</w:t>
      </w:r>
      <w:r w:rsidR="005F4A8E">
        <w:rPr>
          <w:rFonts w:ascii="Segoe UI" w:hAnsi="Segoe UI" w:cs="Segoe UI"/>
          <w:sz w:val="20"/>
          <w:szCs w:val="20"/>
        </w:rPr>
        <w:t xml:space="preserve"> </w:t>
      </w:r>
      <w:r w:rsidR="005F4A8E" w:rsidRPr="002F63AE">
        <w:rPr>
          <w:rFonts w:ascii="Segoe UI" w:hAnsi="Segoe UI" w:cs="Segoe UI"/>
          <w:sz w:val="20"/>
          <w:szCs w:val="20"/>
        </w:rPr>
        <w:t>ou a judicialização do tema antes da instituição de negociação coletiva, podendo ser este acordo denunciado unilateralmente, mediante prévio aviso, na ocorrência de descumprimento dos termos da cláusula 67 da Convenção Coletiva de Trabalho.</w:t>
      </w:r>
    </w:p>
    <w:p w14:paraId="21E29FAA" w14:textId="77777777" w:rsidR="00C510C4" w:rsidRPr="00382B47" w:rsidRDefault="00C510C4" w:rsidP="000F05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jc w:val="both"/>
        <w:rPr>
          <w:rFonts w:ascii="Segoe UI" w:hAnsi="Segoe UI" w:cs="Segoe UI"/>
          <w:sz w:val="20"/>
          <w:szCs w:val="20"/>
        </w:rPr>
      </w:pPr>
    </w:p>
    <w:p w14:paraId="7A98F112" w14:textId="3C94C661" w:rsidR="007D0768" w:rsidRPr="00D84F3E" w:rsidRDefault="007D0768" w:rsidP="007D0768">
      <w:pPr>
        <w:spacing w:after="200" w:line="240" w:lineRule="auto"/>
        <w:jc w:val="both"/>
        <w:rPr>
          <w:rFonts w:ascii="Segoe UI" w:hAnsi="Segoe UI" w:cs="Segoe UI"/>
          <w:b/>
          <w:bCs/>
          <w:sz w:val="20"/>
          <w:szCs w:val="20"/>
        </w:rPr>
      </w:pPr>
      <w:r w:rsidRPr="00D84F3E">
        <w:rPr>
          <w:rFonts w:ascii="Segoe UI" w:hAnsi="Segoe UI" w:cs="Segoe UI"/>
          <w:b/>
          <w:bCs/>
          <w:sz w:val="20"/>
          <w:szCs w:val="20"/>
        </w:rPr>
        <w:t>CLÁUSULA VINTE</w:t>
      </w:r>
      <w:r w:rsidR="00EA1757">
        <w:rPr>
          <w:rFonts w:ascii="Segoe UI" w:hAnsi="Segoe UI" w:cs="Segoe UI"/>
          <w:b/>
          <w:bCs/>
          <w:sz w:val="20"/>
          <w:szCs w:val="20"/>
        </w:rPr>
        <w:t xml:space="preserve"> E </w:t>
      </w:r>
      <w:r w:rsidR="0004471F">
        <w:rPr>
          <w:rFonts w:ascii="Segoe UI" w:hAnsi="Segoe UI" w:cs="Segoe UI"/>
          <w:b/>
          <w:bCs/>
          <w:sz w:val="20"/>
          <w:szCs w:val="20"/>
        </w:rPr>
        <w:t>UM</w:t>
      </w:r>
      <w:r w:rsidRPr="00D84F3E">
        <w:rPr>
          <w:rFonts w:ascii="Segoe UI" w:hAnsi="Segoe UI" w:cs="Segoe UI"/>
          <w:b/>
          <w:bCs/>
          <w:sz w:val="20"/>
          <w:szCs w:val="20"/>
        </w:rPr>
        <w:t xml:space="preserve"> – DOS MEIOS ALTERNATIVOS DE SOLUÇÃO DE CONFLITOS</w:t>
      </w:r>
    </w:p>
    <w:p w14:paraId="6E5666C5" w14:textId="0E140451" w:rsidR="000F1755" w:rsidRDefault="007D0768" w:rsidP="007D0768">
      <w:pPr>
        <w:spacing w:after="200" w:line="240" w:lineRule="auto"/>
        <w:jc w:val="both"/>
        <w:rPr>
          <w:rFonts w:ascii="Segoe UI" w:hAnsi="Segoe UI" w:cs="Segoe UI"/>
          <w:sz w:val="20"/>
          <w:szCs w:val="20"/>
        </w:rPr>
      </w:pPr>
      <w:r w:rsidRPr="00D84F3E">
        <w:rPr>
          <w:rFonts w:ascii="Segoe UI" w:hAnsi="Segoe UI" w:cs="Segoe UI"/>
          <w:sz w:val="20"/>
          <w:szCs w:val="20"/>
        </w:rPr>
        <w:t xml:space="preserve">Os(as) ex-empregados(as) deverão buscar, previamente a qualquer demanda judicial, a conciliação e a solução de conflitos trabalhistas que digam respeito à parcela prevista no presente Acordo Coletivo de Trabalho, por </w:t>
      </w:r>
      <w:r w:rsidRPr="0074488D">
        <w:rPr>
          <w:rFonts w:ascii="Segoe UI" w:hAnsi="Segoe UI" w:cs="Segoe UI"/>
          <w:sz w:val="20"/>
          <w:szCs w:val="20"/>
        </w:rPr>
        <w:t>meio da Comissão de Conciliação Voluntária, regulamentada pelo disposto nas Cláusulas 40 e seguintes do Acordo Coletivo de Trabalho - Banrisul Aditivo à Convenção Coletiva de Trabalho 20</w:t>
      </w:r>
      <w:r w:rsidR="002F63AE" w:rsidRPr="0074488D">
        <w:rPr>
          <w:rFonts w:ascii="Segoe UI" w:hAnsi="Segoe UI" w:cs="Segoe UI"/>
          <w:sz w:val="20"/>
          <w:szCs w:val="20"/>
        </w:rPr>
        <w:t>24</w:t>
      </w:r>
      <w:r w:rsidRPr="0074488D">
        <w:rPr>
          <w:rFonts w:ascii="Segoe UI" w:hAnsi="Segoe UI" w:cs="Segoe UI"/>
          <w:sz w:val="20"/>
          <w:szCs w:val="20"/>
        </w:rPr>
        <w:t>/20</w:t>
      </w:r>
      <w:r w:rsidR="002F63AE" w:rsidRPr="0074488D">
        <w:rPr>
          <w:rFonts w:ascii="Segoe UI" w:hAnsi="Segoe UI" w:cs="Segoe UI"/>
          <w:sz w:val="20"/>
          <w:szCs w:val="20"/>
        </w:rPr>
        <w:t>26</w:t>
      </w:r>
      <w:r w:rsidRPr="0074488D">
        <w:rPr>
          <w:rFonts w:ascii="Segoe UI" w:hAnsi="Segoe UI" w:cs="Segoe UI"/>
          <w:sz w:val="20"/>
          <w:szCs w:val="20"/>
        </w:rPr>
        <w:t>.</w:t>
      </w:r>
    </w:p>
    <w:p w14:paraId="03B1901A" w14:textId="7ACE25E7" w:rsidR="000F1755" w:rsidRPr="00382B47" w:rsidRDefault="000F1755" w:rsidP="000F0542">
      <w:pPr>
        <w:spacing w:after="200" w:line="240" w:lineRule="auto"/>
        <w:jc w:val="both"/>
        <w:rPr>
          <w:rFonts w:ascii="Segoe UI" w:hAnsi="Segoe UI" w:cs="Segoe UI"/>
          <w:b/>
          <w:sz w:val="20"/>
          <w:szCs w:val="20"/>
        </w:rPr>
      </w:pPr>
      <w:r w:rsidRPr="00382B47">
        <w:rPr>
          <w:rFonts w:ascii="Segoe UI" w:hAnsi="Segoe UI" w:cs="Segoe UI"/>
          <w:b/>
          <w:sz w:val="20"/>
          <w:szCs w:val="20"/>
        </w:rPr>
        <w:t xml:space="preserve">CLÁUSULA </w:t>
      </w:r>
      <w:r w:rsidR="00CB14FF" w:rsidRPr="00382B47">
        <w:rPr>
          <w:rFonts w:ascii="Segoe UI" w:hAnsi="Segoe UI" w:cs="Segoe UI"/>
          <w:b/>
          <w:sz w:val="20"/>
          <w:szCs w:val="20"/>
        </w:rPr>
        <w:t xml:space="preserve">VINTE E </w:t>
      </w:r>
      <w:r w:rsidR="0004471F">
        <w:rPr>
          <w:rFonts w:ascii="Segoe UI" w:hAnsi="Segoe UI" w:cs="Segoe UI"/>
          <w:b/>
          <w:sz w:val="20"/>
          <w:szCs w:val="20"/>
        </w:rPr>
        <w:t>DOIS</w:t>
      </w:r>
      <w:r w:rsidR="00CB14FF" w:rsidRPr="00382B47">
        <w:rPr>
          <w:rFonts w:ascii="Segoe UI" w:hAnsi="Segoe UI" w:cs="Segoe UI"/>
          <w:b/>
          <w:sz w:val="20"/>
          <w:szCs w:val="20"/>
        </w:rPr>
        <w:t xml:space="preserve"> </w:t>
      </w:r>
      <w:r w:rsidRPr="00382B47">
        <w:rPr>
          <w:rFonts w:ascii="Segoe UI" w:hAnsi="Segoe UI" w:cs="Segoe UI"/>
          <w:b/>
          <w:sz w:val="20"/>
          <w:szCs w:val="20"/>
        </w:rPr>
        <w:t>– DISPOSIÇÕES FINAIS</w:t>
      </w:r>
    </w:p>
    <w:p w14:paraId="4DF1E4B9" w14:textId="68F8CB52" w:rsidR="000F1755" w:rsidRDefault="000F1755" w:rsidP="000F0542">
      <w:pPr>
        <w:spacing w:after="200" w:line="240" w:lineRule="auto"/>
        <w:jc w:val="both"/>
        <w:rPr>
          <w:rFonts w:ascii="Segoe UI" w:hAnsi="Segoe UI" w:cs="Segoe UI"/>
          <w:sz w:val="20"/>
          <w:szCs w:val="20"/>
        </w:rPr>
      </w:pPr>
      <w:r w:rsidRPr="00382B47">
        <w:rPr>
          <w:rFonts w:ascii="Segoe UI" w:hAnsi="Segoe UI" w:cs="Segoe UI"/>
          <w:sz w:val="20"/>
          <w:szCs w:val="20"/>
        </w:rPr>
        <w:t>As partes firmam o presente instrumento em 2 (duas) vias, nos termos da Lei n° 10.101/2000, consignando que através dele encontram-se cumpridas as exigências do citado dispositivo legal.</w:t>
      </w:r>
    </w:p>
    <w:p w14:paraId="2B9CFFC7" w14:textId="77777777" w:rsidR="00C510C4" w:rsidRPr="00382B47" w:rsidRDefault="00C510C4" w:rsidP="000F0542">
      <w:pPr>
        <w:spacing w:after="200" w:line="240" w:lineRule="auto"/>
        <w:jc w:val="both"/>
        <w:rPr>
          <w:rFonts w:ascii="Segoe UI" w:hAnsi="Segoe UI" w:cs="Segoe UI"/>
          <w:sz w:val="20"/>
          <w:szCs w:val="20"/>
        </w:rPr>
      </w:pPr>
    </w:p>
    <w:p w14:paraId="6667804B" w14:textId="307B8D23" w:rsidR="000F1755" w:rsidRPr="00382B47" w:rsidRDefault="000F1755" w:rsidP="000F0542">
      <w:pPr>
        <w:spacing w:after="200" w:line="240" w:lineRule="auto"/>
        <w:jc w:val="both"/>
        <w:rPr>
          <w:rFonts w:ascii="Segoe UI" w:hAnsi="Segoe UI" w:cs="Segoe UI"/>
          <w:b/>
          <w:sz w:val="20"/>
          <w:szCs w:val="20"/>
        </w:rPr>
      </w:pPr>
      <w:r w:rsidRPr="00382B47">
        <w:rPr>
          <w:rFonts w:ascii="Segoe UI" w:hAnsi="Segoe UI" w:cs="Segoe UI"/>
          <w:b/>
          <w:sz w:val="20"/>
          <w:szCs w:val="20"/>
        </w:rPr>
        <w:t xml:space="preserve">CLÁUSULA </w:t>
      </w:r>
      <w:r w:rsidR="00CB14FF" w:rsidRPr="00382B47">
        <w:rPr>
          <w:rFonts w:ascii="Segoe UI" w:hAnsi="Segoe UI" w:cs="Segoe UI"/>
          <w:b/>
          <w:sz w:val="20"/>
          <w:szCs w:val="20"/>
        </w:rPr>
        <w:t xml:space="preserve">VINTE E </w:t>
      </w:r>
      <w:r w:rsidR="0004471F">
        <w:rPr>
          <w:rFonts w:ascii="Segoe UI" w:hAnsi="Segoe UI" w:cs="Segoe UI"/>
          <w:b/>
          <w:sz w:val="20"/>
          <w:szCs w:val="20"/>
        </w:rPr>
        <w:t>TRÊS</w:t>
      </w:r>
      <w:r w:rsidRPr="00382B47">
        <w:rPr>
          <w:rFonts w:ascii="Segoe UI" w:hAnsi="Segoe UI" w:cs="Segoe UI"/>
          <w:b/>
          <w:sz w:val="20"/>
          <w:szCs w:val="20"/>
        </w:rPr>
        <w:t xml:space="preserve"> – FORMA</w:t>
      </w:r>
    </w:p>
    <w:p w14:paraId="2BB19CDB" w14:textId="77777777" w:rsidR="000F1755" w:rsidRPr="00382B47" w:rsidRDefault="000F1755" w:rsidP="000F0542">
      <w:pPr>
        <w:pStyle w:val="NormalWeb"/>
        <w:spacing w:before="0" w:beforeAutospacing="0" w:after="200" w:afterAutospacing="0"/>
        <w:jc w:val="both"/>
        <w:rPr>
          <w:rFonts w:ascii="Segoe UI" w:hAnsi="Segoe UI" w:cs="Segoe UI"/>
          <w:sz w:val="20"/>
          <w:szCs w:val="20"/>
        </w:rPr>
      </w:pPr>
      <w:r w:rsidRPr="00382B47">
        <w:rPr>
          <w:rFonts w:ascii="Segoe UI" w:hAnsi="Segoe UI" w:cs="Segoe UI"/>
          <w:sz w:val="20"/>
          <w:szCs w:val="20"/>
        </w:rPr>
        <w:t>Este instrumento é lavrado por meio do Sistema Mediador do Ministério do Trabalho, e o protocolo do requerimento de registro, assinado pelas partes signatárias, será depositado na SRTE, tendo as cópias extraídas do Sistema Mediador plena validade legal.</w:t>
      </w:r>
    </w:p>
    <w:p w14:paraId="752C4E82" w14:textId="0FECD66A" w:rsidR="002367C2" w:rsidRPr="0074488D" w:rsidRDefault="000F1755" w:rsidP="000F0542">
      <w:pPr>
        <w:spacing w:after="200" w:line="240" w:lineRule="auto"/>
        <w:jc w:val="both"/>
        <w:rPr>
          <w:rFonts w:ascii="Segoe UI" w:hAnsi="Segoe UI" w:cs="Segoe UI"/>
          <w:sz w:val="20"/>
          <w:szCs w:val="20"/>
        </w:rPr>
      </w:pPr>
      <w:r w:rsidRPr="0074488D">
        <w:rPr>
          <w:rFonts w:ascii="Segoe UI" w:hAnsi="Segoe UI" w:cs="Segoe UI"/>
          <w:sz w:val="20"/>
          <w:szCs w:val="20"/>
        </w:rPr>
        <w:t xml:space="preserve">Porto Alegre, </w:t>
      </w:r>
      <w:r w:rsidR="0074488D" w:rsidRPr="0074488D">
        <w:rPr>
          <w:rFonts w:ascii="Segoe UI" w:hAnsi="Segoe UI" w:cs="Segoe UI"/>
          <w:sz w:val="20"/>
          <w:szCs w:val="20"/>
        </w:rPr>
        <w:t>28</w:t>
      </w:r>
      <w:r w:rsidR="0004471F" w:rsidRPr="0074488D">
        <w:rPr>
          <w:rFonts w:ascii="Segoe UI" w:hAnsi="Segoe UI" w:cs="Segoe UI"/>
          <w:sz w:val="20"/>
          <w:szCs w:val="20"/>
        </w:rPr>
        <w:t xml:space="preserve"> </w:t>
      </w:r>
      <w:r w:rsidRPr="0074488D">
        <w:rPr>
          <w:rFonts w:ascii="Segoe UI" w:hAnsi="Segoe UI" w:cs="Segoe UI"/>
          <w:sz w:val="20"/>
          <w:szCs w:val="20"/>
        </w:rPr>
        <w:t xml:space="preserve">de </w:t>
      </w:r>
      <w:r w:rsidR="00FA783D" w:rsidRPr="0074488D">
        <w:rPr>
          <w:rFonts w:ascii="Segoe UI" w:hAnsi="Segoe UI" w:cs="Segoe UI"/>
          <w:sz w:val="20"/>
          <w:szCs w:val="20"/>
        </w:rPr>
        <w:t>novembr</w:t>
      </w:r>
      <w:r w:rsidR="00456D1F" w:rsidRPr="0074488D">
        <w:rPr>
          <w:rFonts w:ascii="Segoe UI" w:hAnsi="Segoe UI" w:cs="Segoe UI"/>
          <w:sz w:val="20"/>
          <w:szCs w:val="20"/>
        </w:rPr>
        <w:t>o</w:t>
      </w:r>
      <w:r w:rsidRPr="0074488D">
        <w:rPr>
          <w:rFonts w:ascii="Segoe UI" w:hAnsi="Segoe UI" w:cs="Segoe UI"/>
          <w:sz w:val="20"/>
          <w:szCs w:val="20"/>
        </w:rPr>
        <w:t xml:space="preserve"> de 202</w:t>
      </w:r>
      <w:r w:rsidR="00456D1F" w:rsidRPr="0074488D">
        <w:rPr>
          <w:rFonts w:ascii="Segoe UI" w:hAnsi="Segoe UI" w:cs="Segoe UI"/>
          <w:sz w:val="20"/>
          <w:szCs w:val="20"/>
        </w:rPr>
        <w:t>4</w:t>
      </w:r>
      <w:r w:rsidR="00C510C4" w:rsidRPr="0074488D">
        <w:rPr>
          <w:rFonts w:ascii="Segoe UI" w:hAnsi="Segoe UI" w:cs="Segoe UI"/>
          <w:sz w:val="20"/>
          <w:szCs w:val="20"/>
        </w:rPr>
        <w:t>.</w:t>
      </w:r>
    </w:p>
    <w:p w14:paraId="309C4E7F" w14:textId="77777777" w:rsidR="002367C2" w:rsidRPr="00382B47" w:rsidRDefault="002367C2" w:rsidP="000F0542">
      <w:pPr>
        <w:spacing w:after="200" w:line="240" w:lineRule="auto"/>
        <w:jc w:val="both"/>
        <w:rPr>
          <w:rFonts w:ascii="Segoe UI" w:hAnsi="Segoe UI" w:cs="Segoe UI"/>
          <w:sz w:val="20"/>
          <w:szCs w:val="20"/>
        </w:rPr>
      </w:pPr>
    </w:p>
    <w:p w14:paraId="777C3D98" w14:textId="6D5DBA68" w:rsidR="002367C2" w:rsidRPr="00382B47" w:rsidRDefault="002367C2" w:rsidP="00316710">
      <w:pPr>
        <w:jc w:val="center"/>
        <w:rPr>
          <w:rFonts w:ascii="Segoe UI" w:hAnsi="Segoe UI" w:cs="Segoe UI"/>
          <w:sz w:val="20"/>
          <w:szCs w:val="20"/>
        </w:rPr>
      </w:pPr>
      <w:r w:rsidRPr="00382B47">
        <w:rPr>
          <w:rFonts w:ascii="Segoe UI" w:hAnsi="Segoe UI" w:cs="Segoe UI"/>
          <w:sz w:val="20"/>
          <w:szCs w:val="20"/>
        </w:rPr>
        <w:t>BANCO DO ESTADO DO RIO GRANDE DO SUL S.A.</w:t>
      </w:r>
    </w:p>
    <w:p w14:paraId="3FC511CE" w14:textId="0648E694" w:rsidR="00281B23" w:rsidRPr="00382B47" w:rsidRDefault="00281B23" w:rsidP="00316710">
      <w:pPr>
        <w:jc w:val="center"/>
        <w:rPr>
          <w:rFonts w:ascii="Segoe UI" w:hAnsi="Segoe UI" w:cs="Segoe UI"/>
          <w:sz w:val="20"/>
          <w:szCs w:val="20"/>
        </w:rPr>
      </w:pPr>
    </w:p>
    <w:p w14:paraId="35C26DF8" w14:textId="7529E38B" w:rsidR="00281B23" w:rsidRPr="00382B47" w:rsidRDefault="00281B23" w:rsidP="00316710">
      <w:pPr>
        <w:jc w:val="center"/>
        <w:rPr>
          <w:rFonts w:ascii="Segoe UI" w:hAnsi="Segoe UI" w:cs="Segoe UI"/>
          <w:sz w:val="20"/>
          <w:szCs w:val="20"/>
        </w:rPr>
      </w:pPr>
      <w:r w:rsidRPr="00382B47">
        <w:rPr>
          <w:rFonts w:ascii="Segoe UI" w:hAnsi="Segoe UI" w:cs="Segoe UI"/>
          <w:sz w:val="20"/>
          <w:szCs w:val="20"/>
          <w:shd w:val="clear" w:color="auto" w:fill="FFFFFF"/>
        </w:rPr>
        <w:t xml:space="preserve">BANRISUL </w:t>
      </w:r>
      <w:r w:rsidR="00E9289F">
        <w:rPr>
          <w:rFonts w:ascii="Segoe UI" w:hAnsi="Segoe UI" w:cs="Segoe UI"/>
          <w:sz w:val="20"/>
          <w:szCs w:val="20"/>
          <w:shd w:val="clear" w:color="auto" w:fill="FFFFFF"/>
        </w:rPr>
        <w:t xml:space="preserve">SOLUÇÕES EM PAGAMENTOS </w:t>
      </w:r>
      <w:r w:rsidRPr="00382B47">
        <w:rPr>
          <w:rFonts w:ascii="Segoe UI" w:hAnsi="Segoe UI" w:cs="Segoe UI"/>
          <w:sz w:val="20"/>
          <w:szCs w:val="20"/>
          <w:shd w:val="clear" w:color="auto" w:fill="FFFFFF"/>
        </w:rPr>
        <w:t>S.A.</w:t>
      </w:r>
    </w:p>
    <w:p w14:paraId="7453D9CA" w14:textId="77777777" w:rsidR="002367C2" w:rsidRPr="00382B47" w:rsidRDefault="002367C2" w:rsidP="00316710">
      <w:pPr>
        <w:jc w:val="both"/>
        <w:rPr>
          <w:rFonts w:ascii="Segoe UI" w:hAnsi="Segoe UI" w:cs="Segoe UI"/>
          <w:sz w:val="20"/>
          <w:szCs w:val="20"/>
        </w:rPr>
      </w:pPr>
    </w:p>
    <w:p w14:paraId="4FD71809" w14:textId="77777777" w:rsidR="002367C2" w:rsidRPr="00382B47" w:rsidRDefault="002367C2" w:rsidP="00316710">
      <w:pPr>
        <w:jc w:val="both"/>
        <w:rPr>
          <w:rFonts w:ascii="Segoe UI" w:hAnsi="Segoe UI" w:cs="Segoe UI"/>
          <w:sz w:val="20"/>
          <w:szCs w:val="20"/>
        </w:rPr>
      </w:pPr>
      <w:r w:rsidRPr="00382B47">
        <w:rPr>
          <w:rFonts w:ascii="Segoe UI" w:hAnsi="Segoe UI" w:cs="Segoe UI"/>
          <w:sz w:val="20"/>
          <w:szCs w:val="20"/>
        </w:rPr>
        <w:t>FEDERACÃO DOS TRABALHADORES E TRABALHADORAS EM INSTITUICÕES FINANCEIRAS DO RIO GRANDE DO SUL</w:t>
      </w:r>
    </w:p>
    <w:p w14:paraId="11508270" w14:textId="50784EB6" w:rsidR="00D37D5C" w:rsidRPr="00382B47" w:rsidRDefault="00D37D5C" w:rsidP="00316710">
      <w:pPr>
        <w:jc w:val="both"/>
        <w:rPr>
          <w:rFonts w:ascii="Segoe UI" w:hAnsi="Segoe UI" w:cs="Segoe UI"/>
          <w:sz w:val="20"/>
          <w:szCs w:val="20"/>
        </w:rPr>
      </w:pPr>
    </w:p>
    <w:p w14:paraId="5DCE5F92" w14:textId="1FA3B4DD" w:rsidR="002367C2"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BANCARIOS DE ARARANGUA E REGIAO</w:t>
      </w:r>
    </w:p>
    <w:p w14:paraId="6083D6A4" w14:textId="77777777" w:rsidR="002367C2" w:rsidRPr="00382B47" w:rsidRDefault="002367C2" w:rsidP="00316710">
      <w:pPr>
        <w:jc w:val="both"/>
        <w:rPr>
          <w:rFonts w:ascii="Segoe UI" w:hAnsi="Segoe UI" w:cs="Segoe UI"/>
          <w:sz w:val="20"/>
          <w:szCs w:val="20"/>
        </w:rPr>
      </w:pPr>
    </w:p>
    <w:p w14:paraId="7288ABA8" w14:textId="26067359" w:rsidR="002367C2"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ESTABECIMENTOS BANCÁRIOS DE BRASILIA</w:t>
      </w:r>
    </w:p>
    <w:p w14:paraId="07F390CB" w14:textId="77777777" w:rsidR="002367C2" w:rsidRPr="00382B47" w:rsidRDefault="002367C2" w:rsidP="00316710">
      <w:pPr>
        <w:jc w:val="both"/>
        <w:rPr>
          <w:rFonts w:ascii="Segoe UI" w:hAnsi="Segoe UI" w:cs="Segoe UI"/>
          <w:sz w:val="20"/>
          <w:szCs w:val="20"/>
        </w:rPr>
      </w:pPr>
    </w:p>
    <w:p w14:paraId="41202A9B" w14:textId="7635A660" w:rsidR="002367C2"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ESTABABELECIMENTOS BANCARIOS CHAPECO</w:t>
      </w:r>
    </w:p>
    <w:p w14:paraId="09042602" w14:textId="77777777" w:rsidR="002367C2" w:rsidRPr="00382B47" w:rsidRDefault="002367C2" w:rsidP="00316710">
      <w:pPr>
        <w:jc w:val="both"/>
        <w:rPr>
          <w:rFonts w:ascii="Segoe UI" w:hAnsi="Segoe UI" w:cs="Segoe UI"/>
          <w:sz w:val="20"/>
          <w:szCs w:val="20"/>
        </w:rPr>
      </w:pPr>
    </w:p>
    <w:p w14:paraId="02457BE3" w14:textId="77777777" w:rsidR="002367C2"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BANCARIOS DE CONCORDIA E REGIAO</w:t>
      </w:r>
    </w:p>
    <w:p w14:paraId="51EFBB6B" w14:textId="77777777" w:rsidR="002367C2"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BANCARIOS E FINANCIARIOS DE CRICIUMA E REGIAO</w:t>
      </w:r>
    </w:p>
    <w:p w14:paraId="18AE3FEF" w14:textId="77777777" w:rsidR="002367C2" w:rsidRPr="00382B47" w:rsidRDefault="002367C2" w:rsidP="00316710">
      <w:pPr>
        <w:jc w:val="both"/>
        <w:rPr>
          <w:rFonts w:ascii="Segoe UI" w:hAnsi="Segoe UI" w:cs="Segoe UI"/>
          <w:sz w:val="20"/>
          <w:szCs w:val="20"/>
        </w:rPr>
      </w:pPr>
    </w:p>
    <w:p w14:paraId="757AEC7C" w14:textId="77777777" w:rsidR="002367C2"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BANCARIOS DE JOACABA E REGIAO</w:t>
      </w:r>
    </w:p>
    <w:p w14:paraId="370DFA57" w14:textId="77777777" w:rsidR="002367C2" w:rsidRPr="00382B47" w:rsidRDefault="002367C2" w:rsidP="00316710">
      <w:pPr>
        <w:jc w:val="both"/>
        <w:rPr>
          <w:rFonts w:ascii="Segoe UI" w:hAnsi="Segoe UI" w:cs="Segoe UI"/>
          <w:sz w:val="20"/>
          <w:szCs w:val="20"/>
        </w:rPr>
      </w:pPr>
    </w:p>
    <w:p w14:paraId="5E23412D" w14:textId="77777777" w:rsidR="002367C2"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BANCARIOS DE BLUMENAU E REGIAO</w:t>
      </w:r>
    </w:p>
    <w:p w14:paraId="4A75B836" w14:textId="77777777" w:rsidR="002367C2" w:rsidRPr="00382B47" w:rsidRDefault="002367C2" w:rsidP="00316710">
      <w:pPr>
        <w:jc w:val="both"/>
        <w:rPr>
          <w:rFonts w:ascii="Segoe UI" w:hAnsi="Segoe UI" w:cs="Segoe UI"/>
          <w:sz w:val="20"/>
          <w:szCs w:val="20"/>
        </w:rPr>
      </w:pPr>
    </w:p>
    <w:p w14:paraId="0AF487F7" w14:textId="77777777" w:rsidR="00BA12E4"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TRABALHADORES DO RAMO FINANCEIRO DE FLORIANÓPOLIS E REGIÃO</w:t>
      </w:r>
    </w:p>
    <w:p w14:paraId="3636D11A" w14:textId="77777777" w:rsidR="00BA12E4" w:rsidRPr="00382B47" w:rsidRDefault="00BA12E4" w:rsidP="00316710">
      <w:pPr>
        <w:jc w:val="both"/>
        <w:rPr>
          <w:rFonts w:ascii="Segoe UI" w:hAnsi="Segoe UI" w:cs="Segoe UI"/>
          <w:sz w:val="20"/>
          <w:szCs w:val="20"/>
        </w:rPr>
      </w:pPr>
    </w:p>
    <w:p w14:paraId="4C33E6AA" w14:textId="77777777" w:rsidR="00BA12E4"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BANCÁRIOS E FINANCIÁRIOS DO RIO DE JANEIRO</w:t>
      </w:r>
    </w:p>
    <w:p w14:paraId="6B3116BF" w14:textId="77777777" w:rsidR="00BA12E4" w:rsidRPr="00382B47" w:rsidRDefault="00BA12E4" w:rsidP="00316710">
      <w:pPr>
        <w:jc w:val="both"/>
        <w:rPr>
          <w:rFonts w:ascii="Segoe UI" w:hAnsi="Segoe UI" w:cs="Segoe UI"/>
          <w:sz w:val="20"/>
          <w:szCs w:val="20"/>
        </w:rPr>
      </w:pPr>
    </w:p>
    <w:p w14:paraId="4D0BE47D" w14:textId="77777777" w:rsidR="00BA12E4"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BANCÁRIOS DE SÃO PAULO</w:t>
      </w:r>
    </w:p>
    <w:p w14:paraId="060A1CED" w14:textId="77777777" w:rsidR="00BA12E4" w:rsidRPr="00382B47" w:rsidRDefault="00BA12E4" w:rsidP="00316710">
      <w:pPr>
        <w:jc w:val="both"/>
        <w:rPr>
          <w:rFonts w:ascii="Segoe UI" w:hAnsi="Segoe UI" w:cs="Segoe UI"/>
          <w:sz w:val="20"/>
          <w:szCs w:val="20"/>
        </w:rPr>
      </w:pPr>
    </w:p>
    <w:p w14:paraId="3D5B3D94" w14:textId="77777777" w:rsidR="00BA12E4"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BANCÁRIOS DE BALNEÁRIO CAMBORIÚ E REGIÃO</w:t>
      </w:r>
    </w:p>
    <w:p w14:paraId="362BD521" w14:textId="77777777" w:rsidR="00BA12E4" w:rsidRPr="00382B47" w:rsidRDefault="00BA12E4" w:rsidP="00316710">
      <w:pPr>
        <w:jc w:val="both"/>
        <w:rPr>
          <w:rFonts w:ascii="Segoe UI" w:hAnsi="Segoe UI" w:cs="Segoe UI"/>
          <w:sz w:val="20"/>
          <w:szCs w:val="20"/>
        </w:rPr>
      </w:pPr>
    </w:p>
    <w:p w14:paraId="3AB35AB0" w14:textId="77777777" w:rsidR="00BA12E4"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BANCÁRIOS DE CAÇADOR</w:t>
      </w:r>
    </w:p>
    <w:p w14:paraId="722F56EF" w14:textId="77777777" w:rsidR="00BA12E4" w:rsidRPr="00382B47" w:rsidRDefault="00BA12E4" w:rsidP="00316710">
      <w:pPr>
        <w:jc w:val="both"/>
        <w:rPr>
          <w:rFonts w:ascii="Segoe UI" w:hAnsi="Segoe UI" w:cs="Segoe UI"/>
          <w:sz w:val="20"/>
          <w:szCs w:val="20"/>
        </w:rPr>
      </w:pPr>
    </w:p>
    <w:p w14:paraId="7A8FDA38" w14:textId="77777777" w:rsidR="00BA12E4"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BANCÁRIOS DE JOINVILE</w:t>
      </w:r>
    </w:p>
    <w:p w14:paraId="30A0ED44" w14:textId="77777777" w:rsidR="00BA12E4" w:rsidRPr="00382B47" w:rsidRDefault="00BA12E4" w:rsidP="00316710">
      <w:pPr>
        <w:jc w:val="both"/>
        <w:rPr>
          <w:rFonts w:ascii="Segoe UI" w:hAnsi="Segoe UI" w:cs="Segoe UI"/>
          <w:sz w:val="20"/>
          <w:szCs w:val="20"/>
        </w:rPr>
      </w:pPr>
    </w:p>
    <w:p w14:paraId="1835CE33" w14:textId="77777777" w:rsidR="00BA12E4"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BANCÁRIOS DE LAGES</w:t>
      </w:r>
    </w:p>
    <w:p w14:paraId="66B86CCC" w14:textId="77777777" w:rsidR="00BA12E4" w:rsidRPr="00382B47" w:rsidRDefault="00BA12E4" w:rsidP="00316710">
      <w:pPr>
        <w:jc w:val="both"/>
        <w:rPr>
          <w:rFonts w:ascii="Segoe UI" w:hAnsi="Segoe UI" w:cs="Segoe UI"/>
          <w:sz w:val="20"/>
          <w:szCs w:val="20"/>
        </w:rPr>
      </w:pPr>
    </w:p>
    <w:p w14:paraId="3ACA72E3" w14:textId="77777777" w:rsidR="00BA12E4"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BANCÁRIOS DE TUBARÃO E REGIÃO</w:t>
      </w:r>
    </w:p>
    <w:p w14:paraId="1BA6DBBA" w14:textId="77777777" w:rsidR="00BA12E4" w:rsidRPr="00382B47" w:rsidRDefault="00BA12E4" w:rsidP="00316710">
      <w:pPr>
        <w:jc w:val="both"/>
        <w:rPr>
          <w:rFonts w:ascii="Segoe UI" w:hAnsi="Segoe UI" w:cs="Segoe UI"/>
          <w:sz w:val="20"/>
          <w:szCs w:val="20"/>
        </w:rPr>
      </w:pPr>
    </w:p>
    <w:p w14:paraId="76D976E6" w14:textId="77777777" w:rsidR="00BA12E4" w:rsidRPr="00382B47" w:rsidRDefault="002367C2" w:rsidP="00316710">
      <w:pPr>
        <w:jc w:val="both"/>
        <w:rPr>
          <w:rFonts w:ascii="Segoe UI" w:hAnsi="Segoe UI" w:cs="Segoe UI"/>
          <w:sz w:val="20"/>
          <w:szCs w:val="20"/>
        </w:rPr>
      </w:pPr>
      <w:r w:rsidRPr="00382B47">
        <w:rPr>
          <w:rFonts w:ascii="Segoe UI" w:hAnsi="Segoe UI" w:cs="Segoe UI"/>
          <w:sz w:val="20"/>
          <w:szCs w:val="20"/>
        </w:rPr>
        <w:t>SINDICATO DOS EMPREGADOS EM ESTABELECIMENTOS BANCÁRIOS DE VIDEIRA</w:t>
      </w:r>
    </w:p>
    <w:p w14:paraId="6A810CBE" w14:textId="77777777" w:rsidR="00BA12E4" w:rsidRPr="00382B47" w:rsidRDefault="00BA12E4" w:rsidP="00316710">
      <w:pPr>
        <w:jc w:val="both"/>
        <w:rPr>
          <w:rFonts w:ascii="Segoe UI" w:hAnsi="Segoe UI" w:cs="Segoe UI"/>
          <w:sz w:val="20"/>
          <w:szCs w:val="20"/>
        </w:rPr>
      </w:pPr>
    </w:p>
    <w:p w14:paraId="327077C1" w14:textId="7534BE53" w:rsidR="002367C2" w:rsidRPr="00316710" w:rsidRDefault="002367C2" w:rsidP="00316710">
      <w:pPr>
        <w:jc w:val="both"/>
        <w:rPr>
          <w:rFonts w:ascii="Segoe UI" w:hAnsi="Segoe UI" w:cs="Segoe UI"/>
        </w:rPr>
      </w:pPr>
      <w:r w:rsidRPr="00382B47">
        <w:rPr>
          <w:rFonts w:ascii="Segoe UI" w:hAnsi="Segoe UI" w:cs="Segoe UI"/>
          <w:sz w:val="20"/>
          <w:szCs w:val="20"/>
        </w:rPr>
        <w:t>SINDICATO DOS EMPREGADOS EM ESTABELECIMENTOS BANCÁRIOS, FINANCIÁRIOS E EMPRESAS DE CRÉDITO DE CURITIBA</w:t>
      </w:r>
    </w:p>
    <w:p w14:paraId="7C20C60C" w14:textId="587FA083" w:rsidR="00AE449A" w:rsidRPr="000C3069" w:rsidRDefault="00AE449A" w:rsidP="00AE449A">
      <w:pPr>
        <w:spacing w:line="360" w:lineRule="auto"/>
        <w:jc w:val="center"/>
        <w:rPr>
          <w:rFonts w:ascii="Segoe UI" w:hAnsi="Segoe UI" w:cs="Segoe UI"/>
          <w:b/>
          <w:bCs/>
          <w:color w:val="000000" w:themeColor="text1"/>
          <w:sz w:val="20"/>
          <w:szCs w:val="20"/>
        </w:rPr>
      </w:pPr>
      <w:r w:rsidRPr="000C3069">
        <w:rPr>
          <w:rFonts w:ascii="Segoe UI" w:hAnsi="Segoe UI" w:cs="Segoe UI"/>
          <w:b/>
          <w:bCs/>
          <w:color w:val="000000" w:themeColor="text1"/>
          <w:sz w:val="20"/>
          <w:szCs w:val="20"/>
        </w:rPr>
        <w:t>ACORDO COLETIVO DE TRABALHO</w:t>
      </w:r>
    </w:p>
    <w:p w14:paraId="105AB9F7" w14:textId="03E83EA7" w:rsidR="00AE449A" w:rsidRPr="000C3069" w:rsidRDefault="00AE449A" w:rsidP="00AE449A">
      <w:pPr>
        <w:spacing w:line="360" w:lineRule="auto"/>
        <w:jc w:val="center"/>
        <w:rPr>
          <w:rFonts w:ascii="Segoe UI" w:hAnsi="Segoe UI" w:cs="Segoe UI"/>
          <w:b/>
          <w:bCs/>
          <w:color w:val="000000" w:themeColor="text1"/>
          <w:sz w:val="20"/>
          <w:szCs w:val="20"/>
        </w:rPr>
      </w:pPr>
      <w:r w:rsidRPr="000C3069">
        <w:rPr>
          <w:rFonts w:ascii="Segoe UI" w:hAnsi="Segoe UI" w:cs="Segoe UI"/>
          <w:b/>
          <w:bCs/>
          <w:color w:val="000000" w:themeColor="text1"/>
          <w:sz w:val="20"/>
          <w:szCs w:val="20"/>
        </w:rPr>
        <w:t>PROGRAMA DE PARTICIPAÇÃO NOS RESULTADOS PARA O</w:t>
      </w:r>
      <w:r w:rsidR="0004471F">
        <w:rPr>
          <w:rFonts w:ascii="Segoe UI" w:hAnsi="Segoe UI" w:cs="Segoe UI"/>
          <w:b/>
          <w:bCs/>
          <w:color w:val="000000" w:themeColor="text1"/>
          <w:sz w:val="20"/>
          <w:szCs w:val="20"/>
        </w:rPr>
        <w:t>S</w:t>
      </w:r>
      <w:r w:rsidRPr="000C3069">
        <w:rPr>
          <w:rFonts w:ascii="Segoe UI" w:hAnsi="Segoe UI" w:cs="Segoe UI"/>
          <w:b/>
          <w:bCs/>
          <w:color w:val="000000" w:themeColor="text1"/>
          <w:sz w:val="20"/>
          <w:szCs w:val="20"/>
        </w:rPr>
        <w:t xml:space="preserve"> EXERCÍCIO</w:t>
      </w:r>
      <w:r w:rsidR="0004471F">
        <w:rPr>
          <w:rFonts w:ascii="Segoe UI" w:hAnsi="Segoe UI" w:cs="Segoe UI"/>
          <w:b/>
          <w:bCs/>
          <w:color w:val="000000" w:themeColor="text1"/>
          <w:sz w:val="20"/>
          <w:szCs w:val="20"/>
        </w:rPr>
        <w:t>S</w:t>
      </w:r>
      <w:r w:rsidRPr="000C3069">
        <w:rPr>
          <w:rFonts w:ascii="Segoe UI" w:hAnsi="Segoe UI" w:cs="Segoe UI"/>
          <w:b/>
          <w:bCs/>
          <w:color w:val="000000" w:themeColor="text1"/>
          <w:sz w:val="20"/>
          <w:szCs w:val="20"/>
        </w:rPr>
        <w:t xml:space="preserve"> 202</w:t>
      </w:r>
      <w:r w:rsidR="00556A2F" w:rsidRPr="000C3069">
        <w:rPr>
          <w:rFonts w:ascii="Segoe UI" w:hAnsi="Segoe UI" w:cs="Segoe UI"/>
          <w:b/>
          <w:bCs/>
          <w:color w:val="000000" w:themeColor="text1"/>
          <w:sz w:val="20"/>
          <w:szCs w:val="20"/>
        </w:rPr>
        <w:t>4</w:t>
      </w:r>
      <w:r w:rsidR="0004471F">
        <w:rPr>
          <w:rFonts w:ascii="Segoe UI" w:hAnsi="Segoe UI" w:cs="Segoe UI"/>
          <w:b/>
          <w:bCs/>
          <w:color w:val="000000" w:themeColor="text1"/>
          <w:sz w:val="20"/>
          <w:szCs w:val="20"/>
        </w:rPr>
        <w:t xml:space="preserve"> E 2025</w:t>
      </w:r>
    </w:p>
    <w:p w14:paraId="039CF919" w14:textId="77777777" w:rsidR="00AE449A" w:rsidRPr="000C3069" w:rsidRDefault="00AE449A" w:rsidP="00AE449A">
      <w:pPr>
        <w:spacing w:line="360" w:lineRule="auto"/>
        <w:jc w:val="center"/>
        <w:rPr>
          <w:rFonts w:ascii="Segoe UI" w:hAnsi="Segoe UI" w:cs="Segoe UI"/>
          <w:b/>
          <w:bCs/>
          <w:color w:val="000000" w:themeColor="text1"/>
          <w:sz w:val="20"/>
          <w:szCs w:val="20"/>
        </w:rPr>
      </w:pPr>
      <w:r w:rsidRPr="000C3069">
        <w:rPr>
          <w:rFonts w:ascii="Segoe UI" w:hAnsi="Segoe UI" w:cs="Segoe UI"/>
          <w:b/>
          <w:bCs/>
          <w:color w:val="000000" w:themeColor="text1"/>
          <w:sz w:val="20"/>
          <w:szCs w:val="20"/>
        </w:rPr>
        <w:t>BANCO DO ESTADO DO RIO GRANDE DO SUL S/A</w:t>
      </w:r>
    </w:p>
    <w:p w14:paraId="624748AE" w14:textId="77777777" w:rsidR="00AE449A" w:rsidRPr="000C3069" w:rsidRDefault="00AE449A" w:rsidP="000F0542">
      <w:pPr>
        <w:jc w:val="center"/>
        <w:rPr>
          <w:rFonts w:ascii="Segoe UI" w:hAnsi="Segoe UI" w:cs="Segoe UI"/>
          <w:b/>
          <w:bCs/>
          <w:sz w:val="20"/>
          <w:szCs w:val="20"/>
        </w:rPr>
      </w:pPr>
      <w:r w:rsidRPr="000C3069">
        <w:rPr>
          <w:rFonts w:ascii="Segoe UI" w:hAnsi="Segoe UI" w:cs="Segoe UI"/>
          <w:b/>
          <w:bCs/>
          <w:sz w:val="20"/>
          <w:szCs w:val="20"/>
        </w:rPr>
        <w:t>ANEXO</w:t>
      </w:r>
    </w:p>
    <w:p w14:paraId="46AD34E5" w14:textId="77777777" w:rsidR="000C3069" w:rsidRDefault="000C3069" w:rsidP="00A749B8">
      <w:pPr>
        <w:pStyle w:val="NormalWeb"/>
        <w:spacing w:before="0" w:beforeAutospacing="0" w:after="0" w:afterAutospacing="0" w:line="360" w:lineRule="auto"/>
        <w:rPr>
          <w:rFonts w:ascii="Segoe UI" w:hAnsi="Segoe UI" w:cs="Segoe UI"/>
          <w:b/>
          <w:bCs/>
          <w:caps/>
          <w:color w:val="000000" w:themeColor="text1"/>
          <w:sz w:val="20"/>
        </w:rPr>
      </w:pPr>
    </w:p>
    <w:p w14:paraId="5E91313A" w14:textId="7DD3134C" w:rsidR="00D61EC2" w:rsidRPr="00130DAB" w:rsidRDefault="00D61EC2" w:rsidP="00A749B8">
      <w:pPr>
        <w:pStyle w:val="NormalWeb"/>
        <w:spacing w:before="0" w:beforeAutospacing="0" w:after="0" w:afterAutospacing="0" w:line="360" w:lineRule="auto"/>
        <w:rPr>
          <w:rFonts w:ascii="Segoe UI" w:hAnsi="Segoe UI" w:cs="Segoe UI"/>
          <w:b/>
          <w:bCs/>
          <w:caps/>
          <w:color w:val="000000" w:themeColor="text1"/>
          <w:sz w:val="20"/>
        </w:rPr>
      </w:pPr>
      <w:r w:rsidRPr="00130DAB">
        <w:rPr>
          <w:rFonts w:ascii="Segoe UI" w:hAnsi="Segoe UI" w:cs="Segoe UI"/>
          <w:b/>
          <w:bCs/>
          <w:caps/>
          <w:color w:val="000000" w:themeColor="text1"/>
          <w:sz w:val="20"/>
        </w:rPr>
        <w:t>Das Metas,</w:t>
      </w:r>
      <w:r w:rsidR="00AE449A" w:rsidRPr="00130DAB">
        <w:rPr>
          <w:rFonts w:ascii="Segoe UI" w:hAnsi="Segoe UI" w:cs="Segoe UI"/>
          <w:b/>
          <w:bCs/>
          <w:caps/>
          <w:color w:val="000000" w:themeColor="text1"/>
          <w:sz w:val="20"/>
        </w:rPr>
        <w:t xml:space="preserve"> Níveis e Pesos dos Indicadores</w:t>
      </w:r>
      <w:r w:rsidR="00F87C9A" w:rsidRPr="00130DAB">
        <w:rPr>
          <w:rFonts w:ascii="Segoe UI" w:hAnsi="Segoe UI" w:cs="Segoe UI"/>
          <w:b/>
          <w:bCs/>
          <w:caps/>
          <w:color w:val="000000" w:themeColor="text1"/>
          <w:sz w:val="20"/>
        </w:rPr>
        <w:t xml:space="preserve"> do Modelo de desempenho</w:t>
      </w:r>
    </w:p>
    <w:p w14:paraId="5557D00C" w14:textId="77777777" w:rsidR="00D61EC2" w:rsidRPr="00130DAB" w:rsidRDefault="00D61EC2" w:rsidP="00D61EC2">
      <w:pPr>
        <w:pStyle w:val="Recuodecorpodetexto2"/>
        <w:spacing w:line="360" w:lineRule="auto"/>
        <w:ind w:firstLine="0"/>
        <w:rPr>
          <w:rFonts w:ascii="Segoe UI" w:eastAsiaTheme="minorHAnsi" w:hAnsi="Segoe UI" w:cs="Segoe UI"/>
          <w:sz w:val="20"/>
          <w:lang w:eastAsia="en-US"/>
        </w:rPr>
      </w:pPr>
      <w:r w:rsidRPr="00130DAB">
        <w:rPr>
          <w:rFonts w:ascii="Segoe UI" w:eastAsiaTheme="minorHAnsi" w:hAnsi="Segoe UI" w:cs="Segoe UI"/>
          <w:sz w:val="20"/>
          <w:lang w:eastAsia="en-US"/>
        </w:rPr>
        <w:t>As metas são divulgadas através da Intranet do Banrisul e o desempenho individual mínimo para fazer jus ao valor apurado de PPR é de 70% (Régua de Desempenho).</w:t>
      </w:r>
    </w:p>
    <w:p w14:paraId="27C1EAC2" w14:textId="77777777" w:rsidR="00D61EC2" w:rsidRPr="00D61EC2" w:rsidRDefault="00D61EC2" w:rsidP="00A749B8">
      <w:pPr>
        <w:pStyle w:val="NormalWeb"/>
        <w:spacing w:before="0" w:beforeAutospacing="0" w:after="0" w:afterAutospacing="0" w:line="360" w:lineRule="auto"/>
        <w:rPr>
          <w:rFonts w:ascii="Segoe UI" w:hAnsi="Segoe UI" w:cs="Segoe UI"/>
          <w:b/>
          <w:bCs/>
          <w:caps/>
          <w:color w:val="000000" w:themeColor="text1"/>
          <w:sz w:val="20"/>
        </w:rPr>
      </w:pPr>
    </w:p>
    <w:p w14:paraId="61429383" w14:textId="75650FE1" w:rsidR="003E09AD" w:rsidRPr="000C3069" w:rsidRDefault="00D61EC2" w:rsidP="00D61EC2">
      <w:pPr>
        <w:pStyle w:val="Recuodecorpodetexto"/>
        <w:ind w:firstLine="0"/>
        <w:rPr>
          <w:rFonts w:ascii="Segoe UI" w:hAnsi="Segoe UI" w:cs="Segoe UI"/>
          <w:color w:val="auto"/>
          <w:kern w:val="24"/>
          <w:sz w:val="20"/>
        </w:rPr>
      </w:pPr>
      <w:r w:rsidRPr="000C3069">
        <w:rPr>
          <w:rFonts w:ascii="Segoe UI" w:hAnsi="Segoe UI" w:cs="Segoe UI"/>
          <w:color w:val="auto"/>
          <w:kern w:val="24"/>
          <w:sz w:val="20"/>
        </w:rPr>
        <w:t xml:space="preserve">PESOS DOS INDICADORES </w:t>
      </w:r>
      <w:r w:rsidR="00E3609C" w:rsidRPr="000C3069">
        <w:rPr>
          <w:rFonts w:ascii="Segoe UI" w:hAnsi="Segoe UI" w:cs="Segoe UI"/>
          <w:color w:val="auto"/>
          <w:kern w:val="24"/>
          <w:sz w:val="20"/>
        </w:rPr>
        <w:t>UNIDADES</w:t>
      </w:r>
      <w:r w:rsidRPr="000C3069">
        <w:rPr>
          <w:rFonts w:ascii="Segoe UI" w:hAnsi="Segoe UI" w:cs="Segoe UI"/>
          <w:color w:val="auto"/>
          <w:kern w:val="24"/>
          <w:sz w:val="20"/>
        </w:rPr>
        <w:t xml:space="preserve"> DA</w:t>
      </w:r>
      <w:r w:rsidR="00E3609C" w:rsidRPr="000C3069">
        <w:rPr>
          <w:rFonts w:ascii="Segoe UI" w:hAnsi="Segoe UI" w:cs="Segoe UI"/>
          <w:color w:val="auto"/>
          <w:kern w:val="24"/>
          <w:sz w:val="20"/>
        </w:rPr>
        <w:t xml:space="preserve"> DIREÇÃO</w:t>
      </w:r>
      <w:r w:rsidRPr="000C3069">
        <w:rPr>
          <w:rFonts w:ascii="Segoe UI" w:hAnsi="Segoe UI" w:cs="Segoe UI"/>
          <w:color w:val="auto"/>
          <w:kern w:val="24"/>
          <w:sz w:val="20"/>
        </w:rPr>
        <w:t>-</w:t>
      </w:r>
      <w:r w:rsidR="00E3609C" w:rsidRPr="000C3069">
        <w:rPr>
          <w:rFonts w:ascii="Segoe UI" w:hAnsi="Segoe UI" w:cs="Segoe UI"/>
          <w:color w:val="auto"/>
          <w:kern w:val="24"/>
          <w:sz w:val="20"/>
        </w:rPr>
        <w:t xml:space="preserve">GERAL </w:t>
      </w:r>
    </w:p>
    <w:p w14:paraId="411F204D" w14:textId="77777777" w:rsidR="0010090F" w:rsidRPr="000C3069" w:rsidRDefault="0010090F" w:rsidP="00D61EC2">
      <w:pPr>
        <w:pStyle w:val="Recuodecorpodetexto"/>
        <w:ind w:firstLine="0"/>
        <w:rPr>
          <w:rFonts w:ascii="Segoe UI" w:hAnsi="Segoe UI" w:cs="Segoe UI"/>
          <w:color w:val="auto"/>
          <w:kern w:val="24"/>
          <w:sz w:val="20"/>
        </w:rPr>
      </w:pPr>
    </w:p>
    <w:tbl>
      <w:tblPr>
        <w:tblW w:w="4860" w:type="dxa"/>
        <w:tblCellMar>
          <w:left w:w="70" w:type="dxa"/>
          <w:right w:w="70" w:type="dxa"/>
        </w:tblCellMar>
        <w:tblLook w:val="04A0" w:firstRow="1" w:lastRow="0" w:firstColumn="1" w:lastColumn="0" w:noHBand="0" w:noVBand="1"/>
      </w:tblPr>
      <w:tblGrid>
        <w:gridCol w:w="2460"/>
        <w:gridCol w:w="1019"/>
        <w:gridCol w:w="1381"/>
      </w:tblGrid>
      <w:tr w:rsidR="003E09AD" w:rsidRPr="003E09AD" w14:paraId="6D6F2F43" w14:textId="77777777" w:rsidTr="003E09AD">
        <w:trPr>
          <w:trHeight w:val="288"/>
        </w:trPr>
        <w:tc>
          <w:tcPr>
            <w:tcW w:w="2460" w:type="dxa"/>
            <w:vMerge w:val="restart"/>
            <w:tcBorders>
              <w:top w:val="nil"/>
              <w:left w:val="nil"/>
              <w:bottom w:val="single" w:sz="4" w:space="0" w:color="F2F2F2"/>
              <w:right w:val="single" w:sz="4" w:space="0" w:color="F2F2F2"/>
            </w:tcBorders>
            <w:shd w:val="clear" w:color="000000" w:fill="2F75B5"/>
            <w:vAlign w:val="center"/>
            <w:hideMark/>
          </w:tcPr>
          <w:p w14:paraId="568FC39C"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Nível</w:t>
            </w:r>
          </w:p>
        </w:tc>
        <w:tc>
          <w:tcPr>
            <w:tcW w:w="2400" w:type="dxa"/>
            <w:gridSpan w:val="2"/>
            <w:tcBorders>
              <w:top w:val="nil"/>
              <w:left w:val="nil"/>
              <w:bottom w:val="single" w:sz="4" w:space="0" w:color="F2F2F2"/>
              <w:right w:val="single" w:sz="4" w:space="0" w:color="F2F2F2"/>
            </w:tcBorders>
            <w:shd w:val="clear" w:color="000000" w:fill="2F75B5"/>
            <w:noWrap/>
            <w:vAlign w:val="center"/>
            <w:hideMark/>
          </w:tcPr>
          <w:p w14:paraId="645008D1"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Peso Indicadores</w:t>
            </w:r>
          </w:p>
        </w:tc>
      </w:tr>
      <w:tr w:rsidR="003E09AD" w:rsidRPr="003E09AD" w14:paraId="52527806" w14:textId="77777777" w:rsidTr="003E09AD">
        <w:trPr>
          <w:trHeight w:val="288"/>
        </w:trPr>
        <w:tc>
          <w:tcPr>
            <w:tcW w:w="2460" w:type="dxa"/>
            <w:vMerge/>
            <w:tcBorders>
              <w:top w:val="nil"/>
              <w:left w:val="nil"/>
              <w:bottom w:val="single" w:sz="4" w:space="0" w:color="F2F2F2"/>
              <w:right w:val="single" w:sz="4" w:space="0" w:color="F2F2F2"/>
            </w:tcBorders>
            <w:vAlign w:val="center"/>
            <w:hideMark/>
          </w:tcPr>
          <w:p w14:paraId="5D750869" w14:textId="77777777" w:rsidR="003E09AD" w:rsidRPr="003E09AD" w:rsidRDefault="003E09AD" w:rsidP="003E09AD">
            <w:pPr>
              <w:spacing w:after="0" w:line="240" w:lineRule="auto"/>
              <w:rPr>
                <w:rFonts w:ascii="Calibri" w:eastAsia="Times New Roman" w:hAnsi="Calibri" w:cs="Calibri"/>
                <w:b/>
                <w:bCs/>
                <w:color w:val="FFFFFF"/>
                <w:sz w:val="20"/>
                <w:szCs w:val="20"/>
                <w:lang w:eastAsia="pt-BR"/>
              </w:rPr>
            </w:pPr>
          </w:p>
        </w:tc>
        <w:tc>
          <w:tcPr>
            <w:tcW w:w="1019" w:type="dxa"/>
            <w:tcBorders>
              <w:top w:val="nil"/>
              <w:left w:val="nil"/>
              <w:bottom w:val="single" w:sz="4" w:space="0" w:color="F2F2F2"/>
              <w:right w:val="single" w:sz="4" w:space="0" w:color="F2F2F2"/>
            </w:tcBorders>
            <w:shd w:val="clear" w:color="000000" w:fill="2F75B5"/>
            <w:noWrap/>
            <w:vAlign w:val="center"/>
            <w:hideMark/>
          </w:tcPr>
          <w:p w14:paraId="6DD093B6"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Banco</w:t>
            </w:r>
          </w:p>
        </w:tc>
        <w:tc>
          <w:tcPr>
            <w:tcW w:w="1381" w:type="dxa"/>
            <w:tcBorders>
              <w:top w:val="nil"/>
              <w:left w:val="nil"/>
              <w:bottom w:val="single" w:sz="4" w:space="0" w:color="F2F2F2"/>
              <w:right w:val="nil"/>
            </w:tcBorders>
            <w:shd w:val="clear" w:color="000000" w:fill="2F75B5"/>
            <w:noWrap/>
            <w:vAlign w:val="center"/>
            <w:hideMark/>
          </w:tcPr>
          <w:p w14:paraId="75BF98B6"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Unidade</w:t>
            </w:r>
          </w:p>
        </w:tc>
      </w:tr>
      <w:tr w:rsidR="003E09AD" w:rsidRPr="003E09AD" w14:paraId="004612DB" w14:textId="77777777" w:rsidTr="003E09AD">
        <w:trPr>
          <w:trHeight w:val="288"/>
        </w:trPr>
        <w:tc>
          <w:tcPr>
            <w:tcW w:w="2460" w:type="dxa"/>
            <w:tcBorders>
              <w:top w:val="nil"/>
              <w:left w:val="nil"/>
              <w:bottom w:val="single" w:sz="4" w:space="0" w:color="F2F2F2"/>
              <w:right w:val="single" w:sz="4" w:space="0" w:color="F2F2F2"/>
            </w:tcBorders>
            <w:shd w:val="clear" w:color="000000" w:fill="E7E6E6"/>
            <w:vAlign w:val="center"/>
            <w:hideMark/>
          </w:tcPr>
          <w:p w14:paraId="40D36C66"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Superintendentes</w:t>
            </w:r>
          </w:p>
        </w:tc>
        <w:tc>
          <w:tcPr>
            <w:tcW w:w="1019" w:type="dxa"/>
            <w:tcBorders>
              <w:top w:val="nil"/>
              <w:left w:val="nil"/>
              <w:bottom w:val="single" w:sz="4" w:space="0" w:color="F2F2F2"/>
              <w:right w:val="single" w:sz="4" w:space="0" w:color="F2F2F2"/>
            </w:tcBorders>
            <w:shd w:val="clear" w:color="000000" w:fill="E7E6E6"/>
            <w:noWrap/>
            <w:vAlign w:val="center"/>
            <w:hideMark/>
          </w:tcPr>
          <w:p w14:paraId="09F26651"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50%</w:t>
            </w:r>
          </w:p>
        </w:tc>
        <w:tc>
          <w:tcPr>
            <w:tcW w:w="1381" w:type="dxa"/>
            <w:tcBorders>
              <w:top w:val="nil"/>
              <w:left w:val="nil"/>
              <w:bottom w:val="single" w:sz="4" w:space="0" w:color="F2F2F2"/>
              <w:right w:val="nil"/>
            </w:tcBorders>
            <w:shd w:val="clear" w:color="000000" w:fill="E7E6E6"/>
            <w:noWrap/>
            <w:vAlign w:val="center"/>
            <w:hideMark/>
          </w:tcPr>
          <w:p w14:paraId="334BDC10"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50%</w:t>
            </w:r>
          </w:p>
        </w:tc>
      </w:tr>
      <w:tr w:rsidR="003E09AD" w:rsidRPr="003E09AD" w14:paraId="75BF9311" w14:textId="77777777" w:rsidTr="003E09AD">
        <w:trPr>
          <w:trHeight w:val="288"/>
        </w:trPr>
        <w:tc>
          <w:tcPr>
            <w:tcW w:w="2460" w:type="dxa"/>
            <w:tcBorders>
              <w:top w:val="nil"/>
              <w:left w:val="nil"/>
              <w:bottom w:val="single" w:sz="4" w:space="0" w:color="F2F2F2"/>
              <w:right w:val="single" w:sz="4" w:space="0" w:color="F2F2F2"/>
            </w:tcBorders>
            <w:shd w:val="clear" w:color="000000" w:fill="FFFFFF"/>
            <w:vAlign w:val="center"/>
            <w:hideMark/>
          </w:tcPr>
          <w:p w14:paraId="1B4E0226"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Gerentes</w:t>
            </w:r>
          </w:p>
        </w:tc>
        <w:tc>
          <w:tcPr>
            <w:tcW w:w="1019" w:type="dxa"/>
            <w:tcBorders>
              <w:top w:val="nil"/>
              <w:left w:val="nil"/>
              <w:bottom w:val="single" w:sz="4" w:space="0" w:color="F2F2F2"/>
              <w:right w:val="single" w:sz="4" w:space="0" w:color="F2F2F2"/>
            </w:tcBorders>
            <w:shd w:val="clear" w:color="000000" w:fill="FFFFFF"/>
            <w:noWrap/>
            <w:vAlign w:val="center"/>
            <w:hideMark/>
          </w:tcPr>
          <w:p w14:paraId="1AB53431"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50%</w:t>
            </w:r>
          </w:p>
        </w:tc>
        <w:tc>
          <w:tcPr>
            <w:tcW w:w="1381" w:type="dxa"/>
            <w:tcBorders>
              <w:top w:val="nil"/>
              <w:left w:val="nil"/>
              <w:bottom w:val="single" w:sz="4" w:space="0" w:color="F2F2F2"/>
              <w:right w:val="nil"/>
            </w:tcBorders>
            <w:shd w:val="clear" w:color="000000" w:fill="FFFFFF"/>
            <w:noWrap/>
            <w:vAlign w:val="center"/>
            <w:hideMark/>
          </w:tcPr>
          <w:p w14:paraId="349FE922"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50%</w:t>
            </w:r>
          </w:p>
        </w:tc>
      </w:tr>
      <w:tr w:rsidR="003E09AD" w:rsidRPr="003E09AD" w14:paraId="6FEB994C" w14:textId="77777777" w:rsidTr="003E09AD">
        <w:trPr>
          <w:trHeight w:val="288"/>
        </w:trPr>
        <w:tc>
          <w:tcPr>
            <w:tcW w:w="2460" w:type="dxa"/>
            <w:tcBorders>
              <w:top w:val="nil"/>
              <w:left w:val="nil"/>
              <w:bottom w:val="nil"/>
              <w:right w:val="single" w:sz="4" w:space="0" w:color="F2F2F2"/>
            </w:tcBorders>
            <w:shd w:val="clear" w:color="000000" w:fill="E7E6E6"/>
            <w:vAlign w:val="center"/>
            <w:hideMark/>
          </w:tcPr>
          <w:p w14:paraId="5179EB96"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Demais Empregados</w:t>
            </w:r>
          </w:p>
        </w:tc>
        <w:tc>
          <w:tcPr>
            <w:tcW w:w="1019" w:type="dxa"/>
            <w:tcBorders>
              <w:top w:val="nil"/>
              <w:left w:val="nil"/>
              <w:bottom w:val="nil"/>
              <w:right w:val="single" w:sz="4" w:space="0" w:color="F2F2F2"/>
            </w:tcBorders>
            <w:shd w:val="clear" w:color="000000" w:fill="E7E6E6"/>
            <w:noWrap/>
            <w:vAlign w:val="center"/>
            <w:hideMark/>
          </w:tcPr>
          <w:p w14:paraId="4D4FAF6F"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50%</w:t>
            </w:r>
          </w:p>
        </w:tc>
        <w:tc>
          <w:tcPr>
            <w:tcW w:w="1381" w:type="dxa"/>
            <w:tcBorders>
              <w:top w:val="nil"/>
              <w:left w:val="nil"/>
              <w:bottom w:val="nil"/>
              <w:right w:val="nil"/>
            </w:tcBorders>
            <w:shd w:val="clear" w:color="000000" w:fill="E7E6E6"/>
            <w:noWrap/>
            <w:vAlign w:val="center"/>
            <w:hideMark/>
          </w:tcPr>
          <w:p w14:paraId="050A1C48"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50%</w:t>
            </w:r>
          </w:p>
        </w:tc>
      </w:tr>
    </w:tbl>
    <w:p w14:paraId="5DDCA070" w14:textId="77777777" w:rsidR="009D7796" w:rsidRDefault="009D7796" w:rsidP="00D61EC2">
      <w:pPr>
        <w:pStyle w:val="Recuodecorpodetexto"/>
        <w:ind w:firstLine="0"/>
        <w:rPr>
          <w:rFonts w:ascii="Segoe UI" w:hAnsi="Segoe UI" w:cs="Segoe UI"/>
          <w:color w:val="1F3864" w:themeColor="accent1" w:themeShade="80"/>
          <w:kern w:val="24"/>
          <w:sz w:val="20"/>
        </w:rPr>
      </w:pPr>
    </w:p>
    <w:p w14:paraId="531A6AD8" w14:textId="77777777" w:rsidR="009D7796" w:rsidRPr="000C3069" w:rsidRDefault="009D7796" w:rsidP="00D61EC2">
      <w:pPr>
        <w:pStyle w:val="Recuodecorpodetexto"/>
        <w:ind w:firstLine="0"/>
        <w:rPr>
          <w:rFonts w:ascii="Segoe UI" w:hAnsi="Segoe UI" w:cs="Segoe UI"/>
          <w:color w:val="auto"/>
          <w:kern w:val="24"/>
          <w:sz w:val="20"/>
        </w:rPr>
      </w:pPr>
    </w:p>
    <w:p w14:paraId="46496FC1" w14:textId="622703A9" w:rsidR="003E09AD" w:rsidRPr="000C3069" w:rsidRDefault="009D7796" w:rsidP="00D61EC2">
      <w:pPr>
        <w:pStyle w:val="Recuodecorpodetexto"/>
        <w:ind w:firstLine="0"/>
        <w:rPr>
          <w:rFonts w:ascii="Segoe UI" w:hAnsi="Segoe UI" w:cs="Segoe UI"/>
          <w:color w:val="auto"/>
          <w:kern w:val="24"/>
          <w:sz w:val="20"/>
        </w:rPr>
      </w:pPr>
      <w:r w:rsidRPr="000C3069">
        <w:rPr>
          <w:rFonts w:ascii="Segoe UI" w:hAnsi="Segoe UI" w:cs="Segoe UI"/>
          <w:color w:val="auto"/>
          <w:kern w:val="24"/>
          <w:sz w:val="20"/>
        </w:rPr>
        <w:t xml:space="preserve">PESOS DOS INDICADORES DA </w:t>
      </w:r>
      <w:r w:rsidR="00AE449A" w:rsidRPr="000C3069">
        <w:rPr>
          <w:rFonts w:ascii="Segoe UI" w:hAnsi="Segoe UI" w:cs="Segoe UI"/>
          <w:color w:val="auto"/>
          <w:kern w:val="24"/>
          <w:sz w:val="20"/>
        </w:rPr>
        <w:t>B</w:t>
      </w:r>
      <w:r w:rsidR="00D61EC2" w:rsidRPr="000C3069">
        <w:rPr>
          <w:rFonts w:ascii="Segoe UI" w:hAnsi="Segoe UI" w:cs="Segoe UI"/>
          <w:color w:val="auto"/>
          <w:kern w:val="24"/>
          <w:sz w:val="20"/>
        </w:rPr>
        <w:t xml:space="preserve">ANRISUL CORRETORA DE VALORES E </w:t>
      </w:r>
      <w:r w:rsidRPr="000C3069">
        <w:rPr>
          <w:rFonts w:ascii="Segoe UI" w:hAnsi="Segoe UI" w:cs="Segoe UI"/>
          <w:color w:val="auto"/>
          <w:kern w:val="24"/>
          <w:sz w:val="20"/>
        </w:rPr>
        <w:t xml:space="preserve">DA </w:t>
      </w:r>
      <w:r w:rsidR="00E3609C" w:rsidRPr="000C3069">
        <w:rPr>
          <w:rFonts w:ascii="Segoe UI" w:hAnsi="Segoe UI" w:cs="Segoe UI"/>
          <w:color w:val="auto"/>
          <w:kern w:val="24"/>
          <w:sz w:val="20"/>
        </w:rPr>
        <w:t>B</w:t>
      </w:r>
      <w:r w:rsidR="00D61EC2" w:rsidRPr="000C3069">
        <w:rPr>
          <w:rFonts w:ascii="Segoe UI" w:hAnsi="Segoe UI" w:cs="Segoe UI"/>
          <w:color w:val="auto"/>
          <w:kern w:val="24"/>
          <w:sz w:val="20"/>
        </w:rPr>
        <w:t>ANRISUL CORRETORA DE SEGUROS</w:t>
      </w:r>
      <w:r w:rsidR="00E3609C" w:rsidRPr="000C3069">
        <w:rPr>
          <w:rFonts w:ascii="Segoe UI" w:hAnsi="Segoe UI" w:cs="Segoe UI"/>
          <w:color w:val="auto"/>
          <w:kern w:val="24"/>
          <w:sz w:val="20"/>
        </w:rPr>
        <w:t xml:space="preserve"> </w:t>
      </w:r>
    </w:p>
    <w:p w14:paraId="0DC4547F" w14:textId="77777777" w:rsidR="0010090F" w:rsidRPr="00D61EC2" w:rsidRDefault="0010090F" w:rsidP="00D61EC2">
      <w:pPr>
        <w:pStyle w:val="Recuodecorpodetexto"/>
        <w:ind w:firstLine="0"/>
        <w:rPr>
          <w:rFonts w:ascii="Segoe UI" w:hAnsi="Segoe UI" w:cs="Segoe UI"/>
          <w:color w:val="1F3864" w:themeColor="accent1" w:themeShade="80"/>
          <w:kern w:val="24"/>
          <w:sz w:val="20"/>
        </w:rPr>
      </w:pPr>
    </w:p>
    <w:tbl>
      <w:tblPr>
        <w:tblW w:w="4820" w:type="dxa"/>
        <w:tblCellMar>
          <w:left w:w="70" w:type="dxa"/>
          <w:right w:w="70" w:type="dxa"/>
        </w:tblCellMar>
        <w:tblLook w:val="04A0" w:firstRow="1" w:lastRow="0" w:firstColumn="1" w:lastColumn="0" w:noHBand="0" w:noVBand="1"/>
      </w:tblPr>
      <w:tblGrid>
        <w:gridCol w:w="2410"/>
        <w:gridCol w:w="1134"/>
        <w:gridCol w:w="1276"/>
      </w:tblGrid>
      <w:tr w:rsidR="003E09AD" w:rsidRPr="003E09AD" w14:paraId="76B31D24" w14:textId="77777777" w:rsidTr="003E09AD">
        <w:trPr>
          <w:trHeight w:val="288"/>
        </w:trPr>
        <w:tc>
          <w:tcPr>
            <w:tcW w:w="2410" w:type="dxa"/>
            <w:vMerge w:val="restart"/>
            <w:tcBorders>
              <w:top w:val="nil"/>
              <w:left w:val="nil"/>
              <w:bottom w:val="single" w:sz="4" w:space="0" w:color="F2F2F2"/>
              <w:right w:val="single" w:sz="4" w:space="0" w:color="F2F2F2"/>
            </w:tcBorders>
            <w:shd w:val="clear" w:color="000000" w:fill="2F75B5"/>
            <w:vAlign w:val="center"/>
            <w:hideMark/>
          </w:tcPr>
          <w:p w14:paraId="4A5E1531"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Nível</w:t>
            </w:r>
          </w:p>
        </w:tc>
        <w:tc>
          <w:tcPr>
            <w:tcW w:w="2410" w:type="dxa"/>
            <w:gridSpan w:val="2"/>
            <w:tcBorders>
              <w:top w:val="nil"/>
              <w:left w:val="nil"/>
              <w:bottom w:val="single" w:sz="4" w:space="0" w:color="F2F2F2"/>
              <w:right w:val="single" w:sz="4" w:space="0" w:color="F2F2F2"/>
            </w:tcBorders>
            <w:shd w:val="clear" w:color="000000" w:fill="2F75B5"/>
            <w:noWrap/>
            <w:vAlign w:val="center"/>
            <w:hideMark/>
          </w:tcPr>
          <w:p w14:paraId="165FDD22"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Peso Indicadores</w:t>
            </w:r>
          </w:p>
        </w:tc>
      </w:tr>
      <w:tr w:rsidR="003E09AD" w:rsidRPr="003E09AD" w14:paraId="486D67A0" w14:textId="77777777" w:rsidTr="003E09AD">
        <w:trPr>
          <w:trHeight w:val="288"/>
        </w:trPr>
        <w:tc>
          <w:tcPr>
            <w:tcW w:w="2410" w:type="dxa"/>
            <w:vMerge/>
            <w:tcBorders>
              <w:top w:val="nil"/>
              <w:left w:val="nil"/>
              <w:bottom w:val="single" w:sz="4" w:space="0" w:color="F2F2F2"/>
              <w:right w:val="single" w:sz="4" w:space="0" w:color="F2F2F2"/>
            </w:tcBorders>
            <w:vAlign w:val="center"/>
            <w:hideMark/>
          </w:tcPr>
          <w:p w14:paraId="5071EC55" w14:textId="77777777" w:rsidR="003E09AD" w:rsidRPr="003E09AD" w:rsidRDefault="003E09AD" w:rsidP="003E09AD">
            <w:pPr>
              <w:spacing w:after="0" w:line="240" w:lineRule="auto"/>
              <w:rPr>
                <w:rFonts w:ascii="Calibri" w:eastAsia="Times New Roman" w:hAnsi="Calibri" w:cs="Calibri"/>
                <w:b/>
                <w:bCs/>
                <w:color w:val="FFFFFF"/>
                <w:sz w:val="20"/>
                <w:szCs w:val="20"/>
                <w:lang w:eastAsia="pt-BR"/>
              </w:rPr>
            </w:pPr>
          </w:p>
        </w:tc>
        <w:tc>
          <w:tcPr>
            <w:tcW w:w="1134" w:type="dxa"/>
            <w:tcBorders>
              <w:top w:val="nil"/>
              <w:left w:val="nil"/>
              <w:bottom w:val="single" w:sz="4" w:space="0" w:color="F2F2F2"/>
              <w:right w:val="single" w:sz="4" w:space="0" w:color="F2F2F2"/>
            </w:tcBorders>
            <w:shd w:val="clear" w:color="000000" w:fill="2F75B5"/>
            <w:noWrap/>
            <w:vAlign w:val="center"/>
            <w:hideMark/>
          </w:tcPr>
          <w:p w14:paraId="3D845544"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Banco¹</w:t>
            </w:r>
          </w:p>
        </w:tc>
        <w:tc>
          <w:tcPr>
            <w:tcW w:w="1276" w:type="dxa"/>
            <w:tcBorders>
              <w:top w:val="nil"/>
              <w:left w:val="nil"/>
              <w:bottom w:val="single" w:sz="4" w:space="0" w:color="F2F2F2"/>
              <w:right w:val="nil"/>
            </w:tcBorders>
            <w:shd w:val="clear" w:color="000000" w:fill="2F75B5"/>
            <w:noWrap/>
            <w:vAlign w:val="center"/>
            <w:hideMark/>
          </w:tcPr>
          <w:p w14:paraId="18C7EA1F"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Empresa</w:t>
            </w:r>
          </w:p>
        </w:tc>
      </w:tr>
      <w:tr w:rsidR="003E09AD" w:rsidRPr="003E09AD" w14:paraId="234E2178" w14:textId="77777777" w:rsidTr="003E09AD">
        <w:trPr>
          <w:trHeight w:val="288"/>
        </w:trPr>
        <w:tc>
          <w:tcPr>
            <w:tcW w:w="2410" w:type="dxa"/>
            <w:tcBorders>
              <w:top w:val="nil"/>
              <w:left w:val="nil"/>
              <w:bottom w:val="single" w:sz="4" w:space="0" w:color="F2F2F2"/>
              <w:right w:val="single" w:sz="4" w:space="0" w:color="F2F2F2"/>
            </w:tcBorders>
            <w:shd w:val="clear" w:color="000000" w:fill="E7E6E6"/>
            <w:vAlign w:val="center"/>
            <w:hideMark/>
          </w:tcPr>
          <w:p w14:paraId="282D4017"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Gerentes</w:t>
            </w:r>
          </w:p>
        </w:tc>
        <w:tc>
          <w:tcPr>
            <w:tcW w:w="1134" w:type="dxa"/>
            <w:tcBorders>
              <w:top w:val="nil"/>
              <w:left w:val="nil"/>
              <w:bottom w:val="single" w:sz="4" w:space="0" w:color="F2F2F2"/>
              <w:right w:val="single" w:sz="4" w:space="0" w:color="F2F2F2"/>
            </w:tcBorders>
            <w:shd w:val="clear" w:color="000000" w:fill="E7E6E6"/>
            <w:noWrap/>
            <w:vAlign w:val="center"/>
            <w:hideMark/>
          </w:tcPr>
          <w:p w14:paraId="6B007976"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40%</w:t>
            </w:r>
          </w:p>
        </w:tc>
        <w:tc>
          <w:tcPr>
            <w:tcW w:w="1276" w:type="dxa"/>
            <w:tcBorders>
              <w:top w:val="nil"/>
              <w:left w:val="nil"/>
              <w:bottom w:val="single" w:sz="4" w:space="0" w:color="F2F2F2"/>
              <w:right w:val="nil"/>
            </w:tcBorders>
            <w:shd w:val="clear" w:color="000000" w:fill="E7E6E6"/>
            <w:noWrap/>
            <w:vAlign w:val="center"/>
            <w:hideMark/>
          </w:tcPr>
          <w:p w14:paraId="0C408C2C"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60%</w:t>
            </w:r>
          </w:p>
        </w:tc>
      </w:tr>
      <w:tr w:rsidR="003E09AD" w:rsidRPr="003E09AD" w14:paraId="0C7FB284" w14:textId="77777777" w:rsidTr="003E09AD">
        <w:trPr>
          <w:trHeight w:val="288"/>
        </w:trPr>
        <w:tc>
          <w:tcPr>
            <w:tcW w:w="2410" w:type="dxa"/>
            <w:tcBorders>
              <w:top w:val="nil"/>
              <w:left w:val="nil"/>
              <w:bottom w:val="single" w:sz="4" w:space="0" w:color="F2F2F2"/>
              <w:right w:val="single" w:sz="4" w:space="0" w:color="F2F2F2"/>
            </w:tcBorders>
            <w:shd w:val="clear" w:color="000000" w:fill="FFFFFF"/>
            <w:vAlign w:val="center"/>
            <w:hideMark/>
          </w:tcPr>
          <w:p w14:paraId="0766B5E4"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Demais Empregados</w:t>
            </w:r>
          </w:p>
        </w:tc>
        <w:tc>
          <w:tcPr>
            <w:tcW w:w="1134" w:type="dxa"/>
            <w:tcBorders>
              <w:top w:val="nil"/>
              <w:left w:val="nil"/>
              <w:bottom w:val="single" w:sz="4" w:space="0" w:color="F2F2F2"/>
              <w:right w:val="single" w:sz="4" w:space="0" w:color="F2F2F2"/>
            </w:tcBorders>
            <w:shd w:val="clear" w:color="000000" w:fill="FFFFFF"/>
            <w:noWrap/>
            <w:vAlign w:val="center"/>
            <w:hideMark/>
          </w:tcPr>
          <w:p w14:paraId="0A5C8F46"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40%</w:t>
            </w:r>
          </w:p>
        </w:tc>
        <w:tc>
          <w:tcPr>
            <w:tcW w:w="1276" w:type="dxa"/>
            <w:tcBorders>
              <w:top w:val="nil"/>
              <w:left w:val="nil"/>
              <w:bottom w:val="single" w:sz="4" w:space="0" w:color="F2F2F2"/>
              <w:right w:val="nil"/>
            </w:tcBorders>
            <w:shd w:val="clear" w:color="000000" w:fill="FFFFFF"/>
            <w:noWrap/>
            <w:vAlign w:val="center"/>
            <w:hideMark/>
          </w:tcPr>
          <w:p w14:paraId="1BF120B0"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60%</w:t>
            </w:r>
          </w:p>
        </w:tc>
      </w:tr>
      <w:tr w:rsidR="003E09AD" w:rsidRPr="003E09AD" w14:paraId="787B55CE" w14:textId="77777777" w:rsidTr="003E09AD">
        <w:trPr>
          <w:trHeight w:val="288"/>
        </w:trPr>
        <w:tc>
          <w:tcPr>
            <w:tcW w:w="2410" w:type="dxa"/>
            <w:tcBorders>
              <w:top w:val="nil"/>
              <w:left w:val="nil"/>
              <w:bottom w:val="nil"/>
              <w:right w:val="nil"/>
            </w:tcBorders>
            <w:shd w:val="clear" w:color="auto" w:fill="auto"/>
            <w:noWrap/>
            <w:vAlign w:val="bottom"/>
            <w:hideMark/>
          </w:tcPr>
          <w:p w14:paraId="19F03CBC" w14:textId="77777777" w:rsidR="003E09AD" w:rsidRPr="003E09AD" w:rsidRDefault="003E09AD" w:rsidP="003E09AD">
            <w:pPr>
              <w:spacing w:after="0" w:line="240" w:lineRule="auto"/>
              <w:rPr>
                <w:rFonts w:ascii="Calibri" w:eastAsia="Times New Roman" w:hAnsi="Calibri" w:cs="Calibri"/>
                <w:color w:val="000000"/>
                <w:sz w:val="16"/>
                <w:szCs w:val="16"/>
                <w:lang w:eastAsia="pt-BR"/>
              </w:rPr>
            </w:pPr>
            <w:r w:rsidRPr="003E09AD">
              <w:rPr>
                <w:rFonts w:ascii="Calibri" w:eastAsia="Times New Roman" w:hAnsi="Calibri" w:cs="Calibri"/>
                <w:color w:val="000000"/>
                <w:sz w:val="16"/>
                <w:szCs w:val="16"/>
                <w:lang w:eastAsia="pt-BR"/>
              </w:rPr>
              <w:t>¹ Corresponde aos Indicadores de Performance do Banrisul.</w:t>
            </w:r>
          </w:p>
        </w:tc>
        <w:tc>
          <w:tcPr>
            <w:tcW w:w="1134" w:type="dxa"/>
            <w:tcBorders>
              <w:top w:val="nil"/>
              <w:left w:val="nil"/>
              <w:bottom w:val="nil"/>
              <w:right w:val="nil"/>
            </w:tcBorders>
            <w:shd w:val="clear" w:color="000000" w:fill="FFFFFF"/>
            <w:noWrap/>
            <w:vAlign w:val="bottom"/>
            <w:hideMark/>
          </w:tcPr>
          <w:p w14:paraId="3056B66A" w14:textId="77777777" w:rsidR="003E09AD" w:rsidRPr="003E09AD" w:rsidRDefault="003E09AD" w:rsidP="003E09AD">
            <w:pPr>
              <w:spacing w:after="0" w:line="240" w:lineRule="auto"/>
              <w:rPr>
                <w:rFonts w:ascii="Calibri" w:eastAsia="Times New Roman" w:hAnsi="Calibri" w:cs="Calibri"/>
                <w:color w:val="000000"/>
                <w:lang w:eastAsia="pt-BR"/>
              </w:rPr>
            </w:pPr>
            <w:r w:rsidRPr="003E09AD">
              <w:rPr>
                <w:rFonts w:ascii="Calibri" w:eastAsia="Times New Roman" w:hAnsi="Calibri" w:cs="Calibri"/>
                <w:color w:val="000000"/>
                <w:lang w:eastAsia="pt-BR"/>
              </w:rPr>
              <w:t> </w:t>
            </w:r>
          </w:p>
        </w:tc>
        <w:tc>
          <w:tcPr>
            <w:tcW w:w="1276" w:type="dxa"/>
            <w:tcBorders>
              <w:top w:val="nil"/>
              <w:left w:val="nil"/>
              <w:bottom w:val="nil"/>
              <w:right w:val="nil"/>
            </w:tcBorders>
            <w:shd w:val="clear" w:color="000000" w:fill="FFFFFF"/>
            <w:noWrap/>
            <w:vAlign w:val="bottom"/>
            <w:hideMark/>
          </w:tcPr>
          <w:p w14:paraId="09A0CA3E" w14:textId="77777777" w:rsidR="003E09AD" w:rsidRPr="003E09AD" w:rsidRDefault="003E09AD" w:rsidP="003E09AD">
            <w:pPr>
              <w:spacing w:after="0" w:line="240" w:lineRule="auto"/>
              <w:rPr>
                <w:rFonts w:ascii="Calibri" w:eastAsia="Times New Roman" w:hAnsi="Calibri" w:cs="Calibri"/>
                <w:color w:val="000000"/>
                <w:lang w:eastAsia="pt-BR"/>
              </w:rPr>
            </w:pPr>
            <w:r w:rsidRPr="003E09AD">
              <w:rPr>
                <w:rFonts w:ascii="Calibri" w:eastAsia="Times New Roman" w:hAnsi="Calibri" w:cs="Calibri"/>
                <w:color w:val="000000"/>
                <w:lang w:eastAsia="pt-BR"/>
              </w:rPr>
              <w:t> </w:t>
            </w:r>
          </w:p>
        </w:tc>
      </w:tr>
    </w:tbl>
    <w:p w14:paraId="4EB2548E" w14:textId="77777777" w:rsidR="0010090F" w:rsidRDefault="0010090F" w:rsidP="00D61EC2">
      <w:pPr>
        <w:pStyle w:val="Recuodecorpodetexto"/>
        <w:ind w:firstLine="0"/>
        <w:rPr>
          <w:rFonts w:ascii="Segoe UI" w:hAnsi="Segoe UI" w:cs="Segoe UI"/>
          <w:color w:val="1F3864" w:themeColor="accent1" w:themeShade="80"/>
          <w:kern w:val="24"/>
          <w:sz w:val="20"/>
        </w:rPr>
      </w:pPr>
    </w:p>
    <w:p w14:paraId="643CDA0D" w14:textId="3FEA4768" w:rsidR="003E09AD" w:rsidRPr="000C3069" w:rsidRDefault="009D7796" w:rsidP="00D61EC2">
      <w:pPr>
        <w:pStyle w:val="Recuodecorpodetexto"/>
        <w:ind w:firstLine="0"/>
        <w:rPr>
          <w:rFonts w:ascii="Segoe UI" w:hAnsi="Segoe UI" w:cs="Segoe UI"/>
          <w:color w:val="auto"/>
          <w:kern w:val="24"/>
          <w:sz w:val="20"/>
        </w:rPr>
      </w:pPr>
      <w:r w:rsidRPr="000C3069">
        <w:rPr>
          <w:rFonts w:ascii="Segoe UI" w:hAnsi="Segoe UI" w:cs="Segoe UI"/>
          <w:color w:val="auto"/>
          <w:kern w:val="24"/>
          <w:sz w:val="20"/>
        </w:rPr>
        <w:t xml:space="preserve">PESOS DOS INDICADORES DA </w:t>
      </w:r>
      <w:r w:rsidR="00D61EC2" w:rsidRPr="000C3069">
        <w:rPr>
          <w:rFonts w:ascii="Segoe UI" w:hAnsi="Segoe UI" w:cs="Segoe UI"/>
          <w:color w:val="auto"/>
          <w:kern w:val="24"/>
          <w:sz w:val="20"/>
        </w:rPr>
        <w:t>BANRISUL PAGAMENTOS E BANRISUL CONSÓRCIOS</w:t>
      </w:r>
    </w:p>
    <w:p w14:paraId="19C22E42" w14:textId="77777777" w:rsidR="0010090F" w:rsidRPr="00D61EC2" w:rsidRDefault="0010090F" w:rsidP="00D61EC2">
      <w:pPr>
        <w:pStyle w:val="Recuodecorpodetexto"/>
        <w:ind w:firstLine="0"/>
        <w:rPr>
          <w:rFonts w:ascii="Segoe UI" w:hAnsi="Segoe UI" w:cs="Segoe UI"/>
          <w:color w:val="1F3864" w:themeColor="accent1" w:themeShade="80"/>
          <w:kern w:val="24"/>
          <w:sz w:val="20"/>
        </w:rPr>
      </w:pPr>
    </w:p>
    <w:tbl>
      <w:tblPr>
        <w:tblW w:w="4860" w:type="dxa"/>
        <w:tblCellMar>
          <w:left w:w="70" w:type="dxa"/>
          <w:right w:w="70" w:type="dxa"/>
        </w:tblCellMar>
        <w:tblLook w:val="04A0" w:firstRow="1" w:lastRow="0" w:firstColumn="1" w:lastColumn="0" w:noHBand="0" w:noVBand="1"/>
      </w:tblPr>
      <w:tblGrid>
        <w:gridCol w:w="2460"/>
        <w:gridCol w:w="1058"/>
        <w:gridCol w:w="1342"/>
      </w:tblGrid>
      <w:tr w:rsidR="003E09AD" w:rsidRPr="003E09AD" w14:paraId="2B9C2E25" w14:textId="77777777" w:rsidTr="003E09AD">
        <w:trPr>
          <w:trHeight w:val="288"/>
        </w:trPr>
        <w:tc>
          <w:tcPr>
            <w:tcW w:w="2460" w:type="dxa"/>
            <w:vMerge w:val="restart"/>
            <w:tcBorders>
              <w:top w:val="nil"/>
              <w:left w:val="nil"/>
              <w:bottom w:val="single" w:sz="4" w:space="0" w:color="F2F2F2"/>
              <w:right w:val="single" w:sz="4" w:space="0" w:color="F2F2F2"/>
            </w:tcBorders>
            <w:shd w:val="clear" w:color="000000" w:fill="2F75B5"/>
            <w:vAlign w:val="center"/>
            <w:hideMark/>
          </w:tcPr>
          <w:p w14:paraId="107B28A2"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Nível</w:t>
            </w:r>
          </w:p>
        </w:tc>
        <w:tc>
          <w:tcPr>
            <w:tcW w:w="2400" w:type="dxa"/>
            <w:gridSpan w:val="2"/>
            <w:tcBorders>
              <w:top w:val="nil"/>
              <w:left w:val="nil"/>
              <w:bottom w:val="single" w:sz="4" w:space="0" w:color="F2F2F2"/>
              <w:right w:val="single" w:sz="4" w:space="0" w:color="F2F2F2"/>
            </w:tcBorders>
            <w:shd w:val="clear" w:color="000000" w:fill="2F75B5"/>
            <w:noWrap/>
            <w:vAlign w:val="center"/>
            <w:hideMark/>
          </w:tcPr>
          <w:p w14:paraId="5FD28DF1"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Peso Indicadores</w:t>
            </w:r>
          </w:p>
        </w:tc>
      </w:tr>
      <w:tr w:rsidR="003E09AD" w:rsidRPr="003E09AD" w14:paraId="69F6CF44" w14:textId="77777777" w:rsidTr="003E09AD">
        <w:trPr>
          <w:trHeight w:val="288"/>
        </w:trPr>
        <w:tc>
          <w:tcPr>
            <w:tcW w:w="2460" w:type="dxa"/>
            <w:vMerge/>
            <w:tcBorders>
              <w:top w:val="nil"/>
              <w:left w:val="nil"/>
              <w:bottom w:val="single" w:sz="4" w:space="0" w:color="F2F2F2"/>
              <w:right w:val="single" w:sz="4" w:space="0" w:color="F2F2F2"/>
            </w:tcBorders>
            <w:vAlign w:val="center"/>
            <w:hideMark/>
          </w:tcPr>
          <w:p w14:paraId="21A301E2" w14:textId="77777777" w:rsidR="003E09AD" w:rsidRPr="003E09AD" w:rsidRDefault="003E09AD" w:rsidP="003E09AD">
            <w:pPr>
              <w:spacing w:after="0" w:line="240" w:lineRule="auto"/>
              <w:rPr>
                <w:rFonts w:ascii="Calibri" w:eastAsia="Times New Roman" w:hAnsi="Calibri" w:cs="Calibri"/>
                <w:b/>
                <w:bCs/>
                <w:color w:val="FFFFFF"/>
                <w:sz w:val="20"/>
                <w:szCs w:val="20"/>
                <w:lang w:eastAsia="pt-BR"/>
              </w:rPr>
            </w:pPr>
          </w:p>
        </w:tc>
        <w:tc>
          <w:tcPr>
            <w:tcW w:w="1058" w:type="dxa"/>
            <w:tcBorders>
              <w:top w:val="nil"/>
              <w:left w:val="nil"/>
              <w:bottom w:val="single" w:sz="4" w:space="0" w:color="F2F2F2"/>
              <w:right w:val="single" w:sz="4" w:space="0" w:color="F2F2F2"/>
            </w:tcBorders>
            <w:shd w:val="clear" w:color="000000" w:fill="2F75B5"/>
            <w:noWrap/>
            <w:vAlign w:val="center"/>
            <w:hideMark/>
          </w:tcPr>
          <w:p w14:paraId="058BF6AC"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Banco¹</w:t>
            </w:r>
          </w:p>
        </w:tc>
        <w:tc>
          <w:tcPr>
            <w:tcW w:w="1342" w:type="dxa"/>
            <w:tcBorders>
              <w:top w:val="nil"/>
              <w:left w:val="nil"/>
              <w:bottom w:val="single" w:sz="4" w:space="0" w:color="F2F2F2"/>
              <w:right w:val="nil"/>
            </w:tcBorders>
            <w:shd w:val="clear" w:color="000000" w:fill="2F75B5"/>
            <w:noWrap/>
            <w:vAlign w:val="center"/>
            <w:hideMark/>
          </w:tcPr>
          <w:p w14:paraId="6582E778"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Empresa</w:t>
            </w:r>
          </w:p>
        </w:tc>
      </w:tr>
      <w:tr w:rsidR="003E09AD" w:rsidRPr="003E09AD" w14:paraId="37FAA562" w14:textId="77777777" w:rsidTr="003E09AD">
        <w:trPr>
          <w:trHeight w:val="288"/>
        </w:trPr>
        <w:tc>
          <w:tcPr>
            <w:tcW w:w="2460" w:type="dxa"/>
            <w:tcBorders>
              <w:top w:val="nil"/>
              <w:left w:val="nil"/>
              <w:bottom w:val="single" w:sz="4" w:space="0" w:color="F2F2F2"/>
              <w:right w:val="single" w:sz="4" w:space="0" w:color="F2F2F2"/>
            </w:tcBorders>
            <w:shd w:val="clear" w:color="000000" w:fill="E7E6E6"/>
            <w:vAlign w:val="center"/>
            <w:hideMark/>
          </w:tcPr>
          <w:p w14:paraId="3C7A5A64"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Superintendentes</w:t>
            </w:r>
          </w:p>
        </w:tc>
        <w:tc>
          <w:tcPr>
            <w:tcW w:w="1058" w:type="dxa"/>
            <w:tcBorders>
              <w:top w:val="nil"/>
              <w:left w:val="nil"/>
              <w:bottom w:val="single" w:sz="4" w:space="0" w:color="F2F2F2"/>
              <w:right w:val="single" w:sz="4" w:space="0" w:color="F2F2F2"/>
            </w:tcBorders>
            <w:shd w:val="clear" w:color="000000" w:fill="E7E6E6"/>
            <w:noWrap/>
            <w:vAlign w:val="center"/>
            <w:hideMark/>
          </w:tcPr>
          <w:p w14:paraId="3CEA7D61"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40%</w:t>
            </w:r>
          </w:p>
        </w:tc>
        <w:tc>
          <w:tcPr>
            <w:tcW w:w="1342" w:type="dxa"/>
            <w:tcBorders>
              <w:top w:val="nil"/>
              <w:left w:val="nil"/>
              <w:bottom w:val="single" w:sz="4" w:space="0" w:color="F2F2F2"/>
              <w:right w:val="nil"/>
            </w:tcBorders>
            <w:shd w:val="clear" w:color="000000" w:fill="E7E6E6"/>
            <w:noWrap/>
            <w:vAlign w:val="center"/>
            <w:hideMark/>
          </w:tcPr>
          <w:p w14:paraId="0AD8BDEB"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60%</w:t>
            </w:r>
          </w:p>
        </w:tc>
      </w:tr>
      <w:tr w:rsidR="003E09AD" w:rsidRPr="003E09AD" w14:paraId="74082E33" w14:textId="77777777" w:rsidTr="003E09AD">
        <w:trPr>
          <w:trHeight w:val="288"/>
        </w:trPr>
        <w:tc>
          <w:tcPr>
            <w:tcW w:w="2460" w:type="dxa"/>
            <w:tcBorders>
              <w:top w:val="nil"/>
              <w:left w:val="nil"/>
              <w:bottom w:val="single" w:sz="4" w:space="0" w:color="F2F2F2"/>
              <w:right w:val="single" w:sz="4" w:space="0" w:color="F2F2F2"/>
            </w:tcBorders>
            <w:shd w:val="clear" w:color="000000" w:fill="FFFFFF"/>
            <w:vAlign w:val="center"/>
            <w:hideMark/>
          </w:tcPr>
          <w:p w14:paraId="25A75F3E"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Gerentes</w:t>
            </w:r>
          </w:p>
        </w:tc>
        <w:tc>
          <w:tcPr>
            <w:tcW w:w="1058" w:type="dxa"/>
            <w:tcBorders>
              <w:top w:val="nil"/>
              <w:left w:val="nil"/>
              <w:bottom w:val="single" w:sz="4" w:space="0" w:color="F2F2F2"/>
              <w:right w:val="single" w:sz="4" w:space="0" w:color="F2F2F2"/>
            </w:tcBorders>
            <w:shd w:val="clear" w:color="000000" w:fill="FFFFFF"/>
            <w:noWrap/>
            <w:vAlign w:val="center"/>
            <w:hideMark/>
          </w:tcPr>
          <w:p w14:paraId="20FDA1AC"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40%</w:t>
            </w:r>
          </w:p>
        </w:tc>
        <w:tc>
          <w:tcPr>
            <w:tcW w:w="1342" w:type="dxa"/>
            <w:tcBorders>
              <w:top w:val="nil"/>
              <w:left w:val="nil"/>
              <w:bottom w:val="single" w:sz="4" w:space="0" w:color="F2F2F2"/>
              <w:right w:val="nil"/>
            </w:tcBorders>
            <w:shd w:val="clear" w:color="000000" w:fill="FFFFFF"/>
            <w:noWrap/>
            <w:vAlign w:val="center"/>
            <w:hideMark/>
          </w:tcPr>
          <w:p w14:paraId="3D2FF649"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60%</w:t>
            </w:r>
          </w:p>
        </w:tc>
      </w:tr>
      <w:tr w:rsidR="003E09AD" w:rsidRPr="003E09AD" w14:paraId="01BEC48A" w14:textId="77777777" w:rsidTr="003E09AD">
        <w:trPr>
          <w:trHeight w:val="288"/>
        </w:trPr>
        <w:tc>
          <w:tcPr>
            <w:tcW w:w="2460" w:type="dxa"/>
            <w:tcBorders>
              <w:top w:val="nil"/>
              <w:left w:val="nil"/>
              <w:bottom w:val="nil"/>
              <w:right w:val="single" w:sz="4" w:space="0" w:color="F2F2F2"/>
            </w:tcBorders>
            <w:shd w:val="clear" w:color="000000" w:fill="E7E6E6"/>
            <w:vAlign w:val="center"/>
            <w:hideMark/>
          </w:tcPr>
          <w:p w14:paraId="78E15901"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Demais Empregados</w:t>
            </w:r>
          </w:p>
        </w:tc>
        <w:tc>
          <w:tcPr>
            <w:tcW w:w="1058" w:type="dxa"/>
            <w:tcBorders>
              <w:top w:val="nil"/>
              <w:left w:val="nil"/>
              <w:bottom w:val="nil"/>
              <w:right w:val="single" w:sz="4" w:space="0" w:color="F2F2F2"/>
            </w:tcBorders>
            <w:shd w:val="clear" w:color="000000" w:fill="E7E6E6"/>
            <w:noWrap/>
            <w:vAlign w:val="center"/>
            <w:hideMark/>
          </w:tcPr>
          <w:p w14:paraId="78206C94"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40%</w:t>
            </w:r>
          </w:p>
        </w:tc>
        <w:tc>
          <w:tcPr>
            <w:tcW w:w="1342" w:type="dxa"/>
            <w:tcBorders>
              <w:top w:val="nil"/>
              <w:left w:val="nil"/>
              <w:bottom w:val="nil"/>
              <w:right w:val="nil"/>
            </w:tcBorders>
            <w:shd w:val="clear" w:color="000000" w:fill="E7E6E6"/>
            <w:noWrap/>
            <w:vAlign w:val="center"/>
            <w:hideMark/>
          </w:tcPr>
          <w:p w14:paraId="0EF2554B"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60%</w:t>
            </w:r>
          </w:p>
        </w:tc>
      </w:tr>
      <w:tr w:rsidR="003E09AD" w:rsidRPr="003E09AD" w14:paraId="5B1AFF5F" w14:textId="77777777" w:rsidTr="003E09AD">
        <w:trPr>
          <w:trHeight w:val="288"/>
        </w:trPr>
        <w:tc>
          <w:tcPr>
            <w:tcW w:w="4860" w:type="dxa"/>
            <w:gridSpan w:val="3"/>
            <w:tcBorders>
              <w:top w:val="nil"/>
              <w:left w:val="nil"/>
              <w:bottom w:val="nil"/>
              <w:right w:val="nil"/>
            </w:tcBorders>
            <w:shd w:val="clear" w:color="auto" w:fill="auto"/>
            <w:noWrap/>
            <w:hideMark/>
          </w:tcPr>
          <w:p w14:paraId="0E868EA5" w14:textId="77777777" w:rsidR="003E09AD" w:rsidRPr="003E09AD" w:rsidRDefault="003E09AD" w:rsidP="003E09AD">
            <w:pPr>
              <w:spacing w:after="0" w:line="240" w:lineRule="auto"/>
              <w:rPr>
                <w:rFonts w:ascii="Calibri" w:eastAsia="Times New Roman" w:hAnsi="Calibri" w:cs="Calibri"/>
                <w:color w:val="000000"/>
                <w:sz w:val="16"/>
                <w:szCs w:val="16"/>
                <w:lang w:eastAsia="pt-BR"/>
              </w:rPr>
            </w:pPr>
            <w:r w:rsidRPr="003E09AD">
              <w:rPr>
                <w:rFonts w:ascii="Calibri" w:eastAsia="Times New Roman" w:hAnsi="Calibri" w:cs="Calibri"/>
                <w:color w:val="000000"/>
                <w:sz w:val="16"/>
                <w:szCs w:val="16"/>
                <w:lang w:eastAsia="pt-BR"/>
              </w:rPr>
              <w:t>¹ Corresponde aos Indicadores de Performance do Banrisul.</w:t>
            </w:r>
          </w:p>
        </w:tc>
      </w:tr>
    </w:tbl>
    <w:p w14:paraId="506F33F6" w14:textId="77777777" w:rsidR="003E09AD" w:rsidRPr="008345BD" w:rsidRDefault="003E09AD" w:rsidP="00AE449A">
      <w:pPr>
        <w:jc w:val="center"/>
        <w:rPr>
          <w:rFonts w:ascii="Segoe UI" w:hAnsi="Segoe UI" w:cs="Segoe UI"/>
          <w:b/>
          <w:color w:val="FF0000"/>
          <w:sz w:val="20"/>
          <w:szCs w:val="20"/>
        </w:rPr>
      </w:pPr>
    </w:p>
    <w:p w14:paraId="0EF9A906" w14:textId="49756CC6" w:rsidR="00CC015D" w:rsidRPr="000C3069" w:rsidRDefault="009D7796" w:rsidP="00D61EC2">
      <w:pPr>
        <w:pStyle w:val="Recuodecorpodetexto"/>
        <w:ind w:firstLine="0"/>
        <w:rPr>
          <w:rFonts w:ascii="Segoe UI" w:hAnsi="Segoe UI" w:cs="Segoe UI"/>
          <w:color w:val="auto"/>
          <w:kern w:val="24"/>
          <w:sz w:val="20"/>
        </w:rPr>
      </w:pPr>
      <w:r w:rsidRPr="000C3069">
        <w:rPr>
          <w:rFonts w:ascii="Segoe UI" w:hAnsi="Segoe UI" w:cs="Segoe UI"/>
          <w:color w:val="auto"/>
          <w:kern w:val="24"/>
          <w:sz w:val="20"/>
        </w:rPr>
        <w:t xml:space="preserve">PESOS DOS INDICADORES DA </w:t>
      </w:r>
      <w:r w:rsidR="00D61EC2" w:rsidRPr="000C3069">
        <w:rPr>
          <w:rFonts w:ascii="Segoe UI" w:hAnsi="Segoe UI" w:cs="Segoe UI"/>
          <w:color w:val="auto"/>
          <w:kern w:val="24"/>
          <w:sz w:val="20"/>
        </w:rPr>
        <w:t>AUDITORIA INTERNA</w:t>
      </w:r>
    </w:p>
    <w:p w14:paraId="38DAB6C1" w14:textId="77777777" w:rsidR="0010090F" w:rsidRPr="00D61EC2" w:rsidRDefault="0010090F" w:rsidP="00D61EC2">
      <w:pPr>
        <w:pStyle w:val="Recuodecorpodetexto"/>
        <w:ind w:firstLine="0"/>
        <w:rPr>
          <w:rFonts w:ascii="Segoe UI" w:hAnsi="Segoe UI" w:cs="Segoe UI"/>
          <w:color w:val="1F3864" w:themeColor="accent1" w:themeShade="80"/>
          <w:kern w:val="24"/>
          <w:sz w:val="20"/>
        </w:rPr>
      </w:pPr>
    </w:p>
    <w:tbl>
      <w:tblPr>
        <w:tblW w:w="4860" w:type="dxa"/>
        <w:tblCellMar>
          <w:left w:w="70" w:type="dxa"/>
          <w:right w:w="70" w:type="dxa"/>
        </w:tblCellMar>
        <w:tblLook w:val="04A0" w:firstRow="1" w:lastRow="0" w:firstColumn="1" w:lastColumn="0" w:noHBand="0" w:noVBand="1"/>
      </w:tblPr>
      <w:tblGrid>
        <w:gridCol w:w="2460"/>
        <w:gridCol w:w="1071"/>
        <w:gridCol w:w="1329"/>
      </w:tblGrid>
      <w:tr w:rsidR="003E09AD" w:rsidRPr="003E09AD" w14:paraId="6F373783" w14:textId="77777777" w:rsidTr="003E09AD">
        <w:trPr>
          <w:trHeight w:val="288"/>
        </w:trPr>
        <w:tc>
          <w:tcPr>
            <w:tcW w:w="2460" w:type="dxa"/>
            <w:vMerge w:val="restart"/>
            <w:tcBorders>
              <w:top w:val="nil"/>
              <w:left w:val="nil"/>
              <w:bottom w:val="single" w:sz="4" w:space="0" w:color="F2F2F2"/>
              <w:right w:val="single" w:sz="4" w:space="0" w:color="F2F2F2"/>
            </w:tcBorders>
            <w:shd w:val="clear" w:color="000000" w:fill="2F75B5"/>
            <w:vAlign w:val="center"/>
            <w:hideMark/>
          </w:tcPr>
          <w:p w14:paraId="71A8CBA8"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Nível</w:t>
            </w:r>
          </w:p>
        </w:tc>
        <w:tc>
          <w:tcPr>
            <w:tcW w:w="2400" w:type="dxa"/>
            <w:gridSpan w:val="2"/>
            <w:tcBorders>
              <w:top w:val="nil"/>
              <w:left w:val="nil"/>
              <w:bottom w:val="single" w:sz="4" w:space="0" w:color="F2F2F2"/>
              <w:right w:val="single" w:sz="4" w:space="0" w:color="F2F2F2"/>
            </w:tcBorders>
            <w:shd w:val="clear" w:color="000000" w:fill="2F75B5"/>
            <w:noWrap/>
            <w:vAlign w:val="center"/>
            <w:hideMark/>
          </w:tcPr>
          <w:p w14:paraId="7399D2C1"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Peso Indicadores</w:t>
            </w:r>
          </w:p>
        </w:tc>
      </w:tr>
      <w:tr w:rsidR="003E09AD" w:rsidRPr="003E09AD" w14:paraId="09826DFA" w14:textId="77777777" w:rsidTr="003E09AD">
        <w:trPr>
          <w:trHeight w:val="288"/>
        </w:trPr>
        <w:tc>
          <w:tcPr>
            <w:tcW w:w="2460" w:type="dxa"/>
            <w:vMerge/>
            <w:tcBorders>
              <w:top w:val="nil"/>
              <w:left w:val="nil"/>
              <w:bottom w:val="single" w:sz="4" w:space="0" w:color="F2F2F2"/>
              <w:right w:val="single" w:sz="4" w:space="0" w:color="F2F2F2"/>
            </w:tcBorders>
            <w:vAlign w:val="center"/>
            <w:hideMark/>
          </w:tcPr>
          <w:p w14:paraId="3459911B" w14:textId="77777777" w:rsidR="003E09AD" w:rsidRPr="003E09AD" w:rsidRDefault="003E09AD" w:rsidP="003E09AD">
            <w:pPr>
              <w:spacing w:after="0" w:line="240" w:lineRule="auto"/>
              <w:rPr>
                <w:rFonts w:ascii="Calibri" w:eastAsia="Times New Roman" w:hAnsi="Calibri" w:cs="Calibri"/>
                <w:b/>
                <w:bCs/>
                <w:color w:val="FFFFFF"/>
                <w:sz w:val="20"/>
                <w:szCs w:val="20"/>
                <w:lang w:eastAsia="pt-BR"/>
              </w:rPr>
            </w:pPr>
          </w:p>
        </w:tc>
        <w:tc>
          <w:tcPr>
            <w:tcW w:w="1071" w:type="dxa"/>
            <w:tcBorders>
              <w:top w:val="nil"/>
              <w:left w:val="nil"/>
              <w:bottom w:val="single" w:sz="4" w:space="0" w:color="F2F2F2"/>
              <w:right w:val="single" w:sz="4" w:space="0" w:color="F2F2F2"/>
            </w:tcBorders>
            <w:shd w:val="clear" w:color="000000" w:fill="2F75B5"/>
            <w:noWrap/>
            <w:vAlign w:val="center"/>
            <w:hideMark/>
          </w:tcPr>
          <w:p w14:paraId="6B207DAA"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Banco¹</w:t>
            </w:r>
          </w:p>
        </w:tc>
        <w:tc>
          <w:tcPr>
            <w:tcW w:w="1329" w:type="dxa"/>
            <w:tcBorders>
              <w:top w:val="nil"/>
              <w:left w:val="nil"/>
              <w:bottom w:val="single" w:sz="4" w:space="0" w:color="F2F2F2"/>
              <w:right w:val="nil"/>
            </w:tcBorders>
            <w:shd w:val="clear" w:color="000000" w:fill="2F75B5"/>
            <w:noWrap/>
            <w:vAlign w:val="center"/>
            <w:hideMark/>
          </w:tcPr>
          <w:p w14:paraId="5881E030"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Unidade</w:t>
            </w:r>
          </w:p>
        </w:tc>
      </w:tr>
      <w:tr w:rsidR="003E09AD" w:rsidRPr="003E09AD" w14:paraId="7FF89DD0" w14:textId="77777777" w:rsidTr="003E09AD">
        <w:trPr>
          <w:trHeight w:val="288"/>
        </w:trPr>
        <w:tc>
          <w:tcPr>
            <w:tcW w:w="2460" w:type="dxa"/>
            <w:tcBorders>
              <w:top w:val="nil"/>
              <w:left w:val="nil"/>
              <w:bottom w:val="single" w:sz="4" w:space="0" w:color="F2F2F2"/>
              <w:right w:val="single" w:sz="4" w:space="0" w:color="F2F2F2"/>
            </w:tcBorders>
            <w:shd w:val="clear" w:color="000000" w:fill="E7E6E6"/>
            <w:vAlign w:val="center"/>
            <w:hideMark/>
          </w:tcPr>
          <w:p w14:paraId="6BC1CFCF"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Superintendentes</w:t>
            </w:r>
          </w:p>
        </w:tc>
        <w:tc>
          <w:tcPr>
            <w:tcW w:w="1071" w:type="dxa"/>
            <w:tcBorders>
              <w:top w:val="nil"/>
              <w:left w:val="nil"/>
              <w:bottom w:val="single" w:sz="4" w:space="0" w:color="F2F2F2"/>
              <w:right w:val="single" w:sz="4" w:space="0" w:color="F2F2F2"/>
            </w:tcBorders>
            <w:shd w:val="clear" w:color="000000" w:fill="E7E6E6"/>
            <w:noWrap/>
            <w:vAlign w:val="center"/>
            <w:hideMark/>
          </w:tcPr>
          <w:p w14:paraId="054E16B0"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60%</w:t>
            </w:r>
          </w:p>
        </w:tc>
        <w:tc>
          <w:tcPr>
            <w:tcW w:w="1329" w:type="dxa"/>
            <w:tcBorders>
              <w:top w:val="nil"/>
              <w:left w:val="nil"/>
              <w:bottom w:val="single" w:sz="4" w:space="0" w:color="F2F2F2"/>
              <w:right w:val="nil"/>
            </w:tcBorders>
            <w:shd w:val="clear" w:color="000000" w:fill="E7E6E6"/>
            <w:noWrap/>
            <w:vAlign w:val="center"/>
            <w:hideMark/>
          </w:tcPr>
          <w:p w14:paraId="1FC9135D"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40%</w:t>
            </w:r>
          </w:p>
        </w:tc>
      </w:tr>
      <w:tr w:rsidR="003E09AD" w:rsidRPr="003E09AD" w14:paraId="7C030177" w14:textId="77777777" w:rsidTr="003E09AD">
        <w:trPr>
          <w:trHeight w:val="288"/>
        </w:trPr>
        <w:tc>
          <w:tcPr>
            <w:tcW w:w="2460" w:type="dxa"/>
            <w:tcBorders>
              <w:top w:val="nil"/>
              <w:left w:val="nil"/>
              <w:bottom w:val="single" w:sz="4" w:space="0" w:color="F2F2F2"/>
              <w:right w:val="single" w:sz="4" w:space="0" w:color="F2F2F2"/>
            </w:tcBorders>
            <w:shd w:val="clear" w:color="000000" w:fill="FFFFFF"/>
            <w:vAlign w:val="center"/>
            <w:hideMark/>
          </w:tcPr>
          <w:p w14:paraId="7FCB3C41"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Gerentes</w:t>
            </w:r>
          </w:p>
        </w:tc>
        <w:tc>
          <w:tcPr>
            <w:tcW w:w="1071" w:type="dxa"/>
            <w:tcBorders>
              <w:top w:val="nil"/>
              <w:left w:val="nil"/>
              <w:bottom w:val="single" w:sz="4" w:space="0" w:color="F2F2F2"/>
              <w:right w:val="single" w:sz="4" w:space="0" w:color="F2F2F2"/>
            </w:tcBorders>
            <w:shd w:val="clear" w:color="000000" w:fill="FFFFFF"/>
            <w:noWrap/>
            <w:vAlign w:val="center"/>
            <w:hideMark/>
          </w:tcPr>
          <w:p w14:paraId="32D38805"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60%</w:t>
            </w:r>
          </w:p>
        </w:tc>
        <w:tc>
          <w:tcPr>
            <w:tcW w:w="1329" w:type="dxa"/>
            <w:tcBorders>
              <w:top w:val="nil"/>
              <w:left w:val="nil"/>
              <w:bottom w:val="single" w:sz="4" w:space="0" w:color="F2F2F2"/>
              <w:right w:val="nil"/>
            </w:tcBorders>
            <w:shd w:val="clear" w:color="000000" w:fill="FFFFFF"/>
            <w:noWrap/>
            <w:vAlign w:val="center"/>
            <w:hideMark/>
          </w:tcPr>
          <w:p w14:paraId="7815EBC6"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40%</w:t>
            </w:r>
          </w:p>
        </w:tc>
      </w:tr>
      <w:tr w:rsidR="003E09AD" w:rsidRPr="003E09AD" w14:paraId="5B5D9726" w14:textId="77777777" w:rsidTr="003E09AD">
        <w:trPr>
          <w:trHeight w:val="288"/>
        </w:trPr>
        <w:tc>
          <w:tcPr>
            <w:tcW w:w="2460" w:type="dxa"/>
            <w:tcBorders>
              <w:top w:val="nil"/>
              <w:left w:val="nil"/>
              <w:bottom w:val="nil"/>
              <w:right w:val="single" w:sz="4" w:space="0" w:color="F2F2F2"/>
            </w:tcBorders>
            <w:shd w:val="clear" w:color="000000" w:fill="E7E6E6"/>
            <w:vAlign w:val="center"/>
            <w:hideMark/>
          </w:tcPr>
          <w:p w14:paraId="1A5C19DC"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Demais Empregados</w:t>
            </w:r>
          </w:p>
        </w:tc>
        <w:tc>
          <w:tcPr>
            <w:tcW w:w="1071" w:type="dxa"/>
            <w:tcBorders>
              <w:top w:val="nil"/>
              <w:left w:val="nil"/>
              <w:bottom w:val="nil"/>
              <w:right w:val="single" w:sz="4" w:space="0" w:color="F2F2F2"/>
            </w:tcBorders>
            <w:shd w:val="clear" w:color="000000" w:fill="E7E6E6"/>
            <w:noWrap/>
            <w:vAlign w:val="center"/>
            <w:hideMark/>
          </w:tcPr>
          <w:p w14:paraId="5A58C87D"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60%</w:t>
            </w:r>
          </w:p>
        </w:tc>
        <w:tc>
          <w:tcPr>
            <w:tcW w:w="1329" w:type="dxa"/>
            <w:tcBorders>
              <w:top w:val="nil"/>
              <w:left w:val="nil"/>
              <w:bottom w:val="nil"/>
              <w:right w:val="nil"/>
            </w:tcBorders>
            <w:shd w:val="clear" w:color="000000" w:fill="E7E6E6"/>
            <w:noWrap/>
            <w:vAlign w:val="center"/>
            <w:hideMark/>
          </w:tcPr>
          <w:p w14:paraId="1B104CC3"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40%</w:t>
            </w:r>
          </w:p>
        </w:tc>
      </w:tr>
      <w:tr w:rsidR="003E09AD" w:rsidRPr="003E09AD" w14:paraId="33CD47D3" w14:textId="77777777" w:rsidTr="003E09AD">
        <w:trPr>
          <w:trHeight w:val="288"/>
        </w:trPr>
        <w:tc>
          <w:tcPr>
            <w:tcW w:w="4860" w:type="dxa"/>
            <w:gridSpan w:val="3"/>
            <w:tcBorders>
              <w:top w:val="nil"/>
              <w:left w:val="nil"/>
              <w:bottom w:val="nil"/>
              <w:right w:val="nil"/>
            </w:tcBorders>
            <w:shd w:val="clear" w:color="auto" w:fill="auto"/>
            <w:vAlign w:val="center"/>
            <w:hideMark/>
          </w:tcPr>
          <w:p w14:paraId="307C837E" w14:textId="26D8C6BD" w:rsidR="003E09AD" w:rsidRPr="003E09AD" w:rsidRDefault="003E09AD" w:rsidP="003E09AD">
            <w:pPr>
              <w:spacing w:after="0" w:line="240" w:lineRule="auto"/>
              <w:rPr>
                <w:rFonts w:ascii="Calibri" w:eastAsia="Times New Roman" w:hAnsi="Calibri" w:cs="Calibri"/>
                <w:color w:val="000000"/>
                <w:sz w:val="16"/>
                <w:szCs w:val="16"/>
                <w:lang w:eastAsia="pt-BR"/>
              </w:rPr>
            </w:pPr>
            <w:r w:rsidRPr="003E09AD">
              <w:rPr>
                <w:rFonts w:ascii="Calibri" w:eastAsia="Times New Roman" w:hAnsi="Calibri" w:cs="Calibri"/>
                <w:color w:val="000000"/>
                <w:sz w:val="16"/>
                <w:szCs w:val="16"/>
                <w:lang w:eastAsia="pt-BR"/>
              </w:rPr>
              <w:t>¹ indicadores não financeiros (NPS).</w:t>
            </w:r>
          </w:p>
        </w:tc>
      </w:tr>
    </w:tbl>
    <w:p w14:paraId="053926A5" w14:textId="576FBE0D" w:rsidR="00E3609C" w:rsidRDefault="00E3609C" w:rsidP="003E09AD">
      <w:pPr>
        <w:rPr>
          <w:rFonts w:ascii="Segoe UI" w:hAnsi="Segoe UI" w:cs="Segoe UI"/>
          <w:b/>
          <w:color w:val="FF0000"/>
          <w:sz w:val="20"/>
          <w:szCs w:val="20"/>
        </w:rPr>
      </w:pPr>
    </w:p>
    <w:p w14:paraId="6348E0E9" w14:textId="39A1E740" w:rsidR="00D61EC2" w:rsidRPr="000C3069" w:rsidRDefault="009D7796" w:rsidP="00D61EC2">
      <w:pPr>
        <w:pStyle w:val="Recuodecorpodetexto"/>
        <w:ind w:firstLine="0"/>
        <w:rPr>
          <w:rFonts w:ascii="Segoe UI" w:hAnsi="Segoe UI" w:cs="Segoe UI"/>
          <w:color w:val="auto"/>
          <w:kern w:val="24"/>
          <w:sz w:val="20"/>
        </w:rPr>
      </w:pPr>
      <w:r w:rsidRPr="000C3069">
        <w:rPr>
          <w:rFonts w:ascii="Segoe UI" w:hAnsi="Segoe UI" w:cs="Segoe UI"/>
          <w:color w:val="auto"/>
          <w:kern w:val="24"/>
          <w:sz w:val="20"/>
        </w:rPr>
        <w:t xml:space="preserve">PESOS DOS INDICADORES DA </w:t>
      </w:r>
      <w:r w:rsidR="00D61EC2" w:rsidRPr="000C3069">
        <w:rPr>
          <w:rFonts w:ascii="Segoe UI" w:hAnsi="Segoe UI" w:cs="Segoe UI"/>
          <w:color w:val="auto"/>
          <w:kern w:val="24"/>
          <w:sz w:val="20"/>
        </w:rPr>
        <w:t>R</w:t>
      </w:r>
      <w:r w:rsidRPr="000C3069">
        <w:rPr>
          <w:rFonts w:ascii="Segoe UI" w:hAnsi="Segoe UI" w:cs="Segoe UI"/>
          <w:color w:val="auto"/>
          <w:kern w:val="24"/>
          <w:sz w:val="20"/>
        </w:rPr>
        <w:t>E</w:t>
      </w:r>
      <w:r w:rsidR="00D61EC2" w:rsidRPr="000C3069">
        <w:rPr>
          <w:rFonts w:ascii="Segoe UI" w:hAnsi="Segoe UI" w:cs="Segoe UI"/>
          <w:color w:val="auto"/>
          <w:kern w:val="24"/>
          <w:sz w:val="20"/>
        </w:rPr>
        <w:t>DE DE AGÊNCIAS</w:t>
      </w:r>
    </w:p>
    <w:p w14:paraId="133153A0" w14:textId="77777777" w:rsidR="0010090F" w:rsidRDefault="0010090F" w:rsidP="00D61EC2">
      <w:pPr>
        <w:pStyle w:val="Recuodecorpodetexto"/>
        <w:ind w:firstLine="0"/>
        <w:rPr>
          <w:rFonts w:ascii="Segoe UI" w:hAnsi="Segoe UI" w:cs="Segoe UI"/>
          <w:color w:val="1F3864" w:themeColor="accent1" w:themeShade="80"/>
          <w:kern w:val="24"/>
          <w:sz w:val="20"/>
        </w:rPr>
      </w:pPr>
    </w:p>
    <w:tbl>
      <w:tblPr>
        <w:tblW w:w="9944" w:type="dxa"/>
        <w:tblCellMar>
          <w:left w:w="0" w:type="dxa"/>
          <w:right w:w="0" w:type="dxa"/>
        </w:tblCellMar>
        <w:tblLook w:val="04A0" w:firstRow="1" w:lastRow="0" w:firstColumn="1" w:lastColumn="0" w:noHBand="0" w:noVBand="1"/>
      </w:tblPr>
      <w:tblGrid>
        <w:gridCol w:w="9944"/>
      </w:tblGrid>
      <w:tr w:rsidR="00E3609C" w:rsidRPr="008345BD" w14:paraId="7D93CC80" w14:textId="77777777" w:rsidTr="00CC015D">
        <w:trPr>
          <w:trHeight w:val="164"/>
        </w:trPr>
        <w:tc>
          <w:tcPr>
            <w:tcW w:w="9944" w:type="dxa"/>
            <w:tcBorders>
              <w:top w:val="nil"/>
              <w:left w:val="nil"/>
              <w:bottom w:val="nil"/>
              <w:right w:val="nil"/>
            </w:tcBorders>
            <w:shd w:val="clear" w:color="auto" w:fill="auto"/>
            <w:tcMar>
              <w:top w:w="15" w:type="dxa"/>
              <w:left w:w="65" w:type="dxa"/>
              <w:bottom w:w="0" w:type="dxa"/>
              <w:right w:w="65" w:type="dxa"/>
            </w:tcMar>
            <w:vAlign w:val="center"/>
          </w:tcPr>
          <w:tbl>
            <w:tblPr>
              <w:tblW w:w="9814" w:type="dxa"/>
              <w:tblCellMar>
                <w:left w:w="70" w:type="dxa"/>
                <w:right w:w="70" w:type="dxa"/>
              </w:tblCellMar>
              <w:tblLook w:val="04A0" w:firstRow="1" w:lastRow="0" w:firstColumn="1" w:lastColumn="0" w:noHBand="0" w:noVBand="1"/>
            </w:tblPr>
            <w:tblGrid>
              <w:gridCol w:w="2549"/>
              <w:gridCol w:w="1563"/>
              <w:gridCol w:w="911"/>
              <w:gridCol w:w="1397"/>
              <w:gridCol w:w="1042"/>
              <w:gridCol w:w="1119"/>
              <w:gridCol w:w="1233"/>
            </w:tblGrid>
            <w:tr w:rsidR="003E09AD" w:rsidRPr="003E09AD" w14:paraId="3E0E6318" w14:textId="77777777" w:rsidTr="00CC015D">
              <w:trPr>
                <w:trHeight w:val="292"/>
              </w:trPr>
              <w:tc>
                <w:tcPr>
                  <w:tcW w:w="2549" w:type="dxa"/>
                  <w:vMerge w:val="restart"/>
                  <w:tcBorders>
                    <w:top w:val="nil"/>
                    <w:left w:val="nil"/>
                    <w:bottom w:val="nil"/>
                    <w:right w:val="nil"/>
                  </w:tcBorders>
                  <w:shd w:val="clear" w:color="000000" w:fill="2F75B5"/>
                  <w:vAlign w:val="center"/>
                  <w:hideMark/>
                </w:tcPr>
                <w:p w14:paraId="0EC92B4C"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Nível</w:t>
                  </w:r>
                </w:p>
              </w:tc>
              <w:tc>
                <w:tcPr>
                  <w:tcW w:w="7264" w:type="dxa"/>
                  <w:gridSpan w:val="6"/>
                  <w:tcBorders>
                    <w:top w:val="nil"/>
                    <w:left w:val="nil"/>
                    <w:bottom w:val="nil"/>
                    <w:right w:val="nil"/>
                  </w:tcBorders>
                  <w:shd w:val="clear" w:color="000000" w:fill="2F75B5"/>
                  <w:noWrap/>
                  <w:vAlign w:val="center"/>
                  <w:hideMark/>
                </w:tcPr>
                <w:p w14:paraId="568EC452"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Peso Indicadores</w:t>
                  </w:r>
                </w:p>
              </w:tc>
            </w:tr>
            <w:tr w:rsidR="00CC015D" w:rsidRPr="003E09AD" w14:paraId="147E0FC0" w14:textId="77777777" w:rsidTr="00CC015D">
              <w:trPr>
                <w:trHeight w:val="292"/>
              </w:trPr>
              <w:tc>
                <w:tcPr>
                  <w:tcW w:w="2549" w:type="dxa"/>
                  <w:vMerge/>
                  <w:tcBorders>
                    <w:top w:val="nil"/>
                    <w:left w:val="nil"/>
                    <w:bottom w:val="nil"/>
                    <w:right w:val="nil"/>
                  </w:tcBorders>
                  <w:vAlign w:val="center"/>
                  <w:hideMark/>
                </w:tcPr>
                <w:p w14:paraId="48FC595F" w14:textId="77777777" w:rsidR="003E09AD" w:rsidRPr="003E09AD" w:rsidRDefault="003E09AD" w:rsidP="003E09AD">
                  <w:pPr>
                    <w:spacing w:after="0" w:line="240" w:lineRule="auto"/>
                    <w:rPr>
                      <w:rFonts w:ascii="Calibri" w:eastAsia="Times New Roman" w:hAnsi="Calibri" w:cs="Calibri"/>
                      <w:b/>
                      <w:bCs/>
                      <w:color w:val="FFFFFF"/>
                      <w:sz w:val="20"/>
                      <w:szCs w:val="20"/>
                      <w:lang w:eastAsia="pt-BR"/>
                    </w:rPr>
                  </w:pPr>
                </w:p>
              </w:tc>
              <w:tc>
                <w:tcPr>
                  <w:tcW w:w="1563" w:type="dxa"/>
                  <w:tcBorders>
                    <w:top w:val="nil"/>
                    <w:left w:val="nil"/>
                    <w:bottom w:val="nil"/>
                    <w:right w:val="nil"/>
                  </w:tcBorders>
                  <w:shd w:val="clear" w:color="000000" w:fill="2F75B5"/>
                  <w:noWrap/>
                  <w:vAlign w:val="center"/>
                  <w:hideMark/>
                </w:tcPr>
                <w:p w14:paraId="13FD808F"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Banco¹</w:t>
                  </w:r>
                </w:p>
              </w:tc>
              <w:tc>
                <w:tcPr>
                  <w:tcW w:w="911" w:type="dxa"/>
                  <w:tcBorders>
                    <w:top w:val="nil"/>
                    <w:left w:val="nil"/>
                    <w:bottom w:val="nil"/>
                    <w:right w:val="nil"/>
                  </w:tcBorders>
                  <w:shd w:val="clear" w:color="000000" w:fill="2F75B5"/>
                  <w:noWrap/>
                  <w:vAlign w:val="center"/>
                  <w:hideMark/>
                </w:tcPr>
                <w:p w14:paraId="7F39A8C4"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Sureg²</w:t>
                  </w:r>
                </w:p>
              </w:tc>
              <w:tc>
                <w:tcPr>
                  <w:tcW w:w="1397" w:type="dxa"/>
                  <w:tcBorders>
                    <w:top w:val="nil"/>
                    <w:left w:val="nil"/>
                    <w:bottom w:val="nil"/>
                    <w:right w:val="nil"/>
                  </w:tcBorders>
                  <w:shd w:val="clear" w:color="000000" w:fill="2F75B5"/>
                  <w:noWrap/>
                  <w:vAlign w:val="center"/>
                  <w:hideMark/>
                </w:tcPr>
                <w:p w14:paraId="620C5798"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Microrregião²</w:t>
                  </w:r>
                </w:p>
              </w:tc>
              <w:tc>
                <w:tcPr>
                  <w:tcW w:w="1042" w:type="dxa"/>
                  <w:tcBorders>
                    <w:top w:val="nil"/>
                    <w:left w:val="nil"/>
                    <w:bottom w:val="nil"/>
                    <w:right w:val="nil"/>
                  </w:tcBorders>
                  <w:shd w:val="clear" w:color="000000" w:fill="2F75B5"/>
                  <w:noWrap/>
                  <w:vAlign w:val="center"/>
                  <w:hideMark/>
                </w:tcPr>
                <w:p w14:paraId="0E894DBF"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Agência²</w:t>
                  </w:r>
                </w:p>
              </w:tc>
              <w:tc>
                <w:tcPr>
                  <w:tcW w:w="1119" w:type="dxa"/>
                  <w:tcBorders>
                    <w:top w:val="nil"/>
                    <w:left w:val="nil"/>
                    <w:bottom w:val="nil"/>
                    <w:right w:val="nil"/>
                  </w:tcBorders>
                  <w:shd w:val="clear" w:color="000000" w:fill="2F75B5"/>
                  <w:noWrap/>
                  <w:vAlign w:val="center"/>
                  <w:hideMark/>
                </w:tcPr>
                <w:p w14:paraId="44783E9A"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Individual²</w:t>
                  </w:r>
                </w:p>
              </w:tc>
              <w:tc>
                <w:tcPr>
                  <w:tcW w:w="1231" w:type="dxa"/>
                  <w:tcBorders>
                    <w:top w:val="nil"/>
                    <w:left w:val="nil"/>
                    <w:bottom w:val="nil"/>
                    <w:right w:val="nil"/>
                  </w:tcBorders>
                  <w:shd w:val="clear" w:color="000000" w:fill="2F75B5"/>
                  <w:noWrap/>
                  <w:vAlign w:val="center"/>
                  <w:hideMark/>
                </w:tcPr>
                <w:p w14:paraId="540665D9" w14:textId="77777777" w:rsidR="003E09AD" w:rsidRPr="003E09AD" w:rsidRDefault="003E09AD" w:rsidP="003E09AD">
                  <w:pPr>
                    <w:spacing w:after="0" w:line="240" w:lineRule="auto"/>
                    <w:jc w:val="center"/>
                    <w:rPr>
                      <w:rFonts w:ascii="Calibri" w:eastAsia="Times New Roman" w:hAnsi="Calibri" w:cs="Calibri"/>
                      <w:b/>
                      <w:bCs/>
                      <w:color w:val="FFFFFF"/>
                      <w:sz w:val="20"/>
                      <w:szCs w:val="20"/>
                      <w:lang w:eastAsia="pt-BR"/>
                    </w:rPr>
                  </w:pPr>
                  <w:r w:rsidRPr="003E09AD">
                    <w:rPr>
                      <w:rFonts w:ascii="Calibri" w:eastAsia="Times New Roman" w:hAnsi="Calibri" w:cs="Calibri"/>
                      <w:b/>
                      <w:bCs/>
                      <w:color w:val="FFFFFF"/>
                      <w:sz w:val="20"/>
                      <w:szCs w:val="20"/>
                      <w:lang w:eastAsia="pt-BR"/>
                    </w:rPr>
                    <w:t>Plataforma²</w:t>
                  </w:r>
                </w:p>
              </w:tc>
            </w:tr>
            <w:tr w:rsidR="00CC015D" w:rsidRPr="003E09AD" w14:paraId="14557CC4" w14:textId="77777777" w:rsidTr="00CC015D">
              <w:trPr>
                <w:trHeight w:val="292"/>
              </w:trPr>
              <w:tc>
                <w:tcPr>
                  <w:tcW w:w="2549" w:type="dxa"/>
                  <w:tcBorders>
                    <w:top w:val="single" w:sz="4" w:space="0" w:color="F2F2F2"/>
                    <w:left w:val="nil"/>
                    <w:bottom w:val="single" w:sz="4" w:space="0" w:color="F2F2F2"/>
                    <w:right w:val="single" w:sz="4" w:space="0" w:color="F2F2F2"/>
                  </w:tcBorders>
                  <w:shd w:val="clear" w:color="000000" w:fill="E7E6E6"/>
                  <w:vAlign w:val="center"/>
                  <w:hideMark/>
                </w:tcPr>
                <w:p w14:paraId="432EEB07"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Superintendente Regional</w:t>
                  </w:r>
                </w:p>
              </w:tc>
              <w:tc>
                <w:tcPr>
                  <w:tcW w:w="1563" w:type="dxa"/>
                  <w:tcBorders>
                    <w:top w:val="single" w:sz="4" w:space="0" w:color="F2F2F2"/>
                    <w:left w:val="nil"/>
                    <w:bottom w:val="single" w:sz="4" w:space="0" w:color="F2F2F2"/>
                    <w:right w:val="single" w:sz="4" w:space="0" w:color="F2F2F2"/>
                  </w:tcBorders>
                  <w:shd w:val="clear" w:color="000000" w:fill="E7E6E6"/>
                  <w:noWrap/>
                  <w:vAlign w:val="center"/>
                  <w:hideMark/>
                </w:tcPr>
                <w:p w14:paraId="79FB40CF"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20%</w:t>
                  </w:r>
                </w:p>
              </w:tc>
              <w:tc>
                <w:tcPr>
                  <w:tcW w:w="911" w:type="dxa"/>
                  <w:tcBorders>
                    <w:top w:val="single" w:sz="4" w:space="0" w:color="F2F2F2"/>
                    <w:left w:val="nil"/>
                    <w:bottom w:val="single" w:sz="4" w:space="0" w:color="F2F2F2"/>
                    <w:right w:val="nil"/>
                  </w:tcBorders>
                  <w:shd w:val="clear" w:color="000000" w:fill="E7E6E6"/>
                  <w:noWrap/>
                  <w:vAlign w:val="center"/>
                  <w:hideMark/>
                </w:tcPr>
                <w:p w14:paraId="36F23A2A"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80%</w:t>
                  </w:r>
                </w:p>
              </w:tc>
              <w:tc>
                <w:tcPr>
                  <w:tcW w:w="1397" w:type="dxa"/>
                  <w:tcBorders>
                    <w:top w:val="single" w:sz="4" w:space="0" w:color="F2F2F2"/>
                    <w:left w:val="nil"/>
                    <w:bottom w:val="single" w:sz="4" w:space="0" w:color="F2F2F2"/>
                    <w:right w:val="single" w:sz="4" w:space="0" w:color="F2F2F2"/>
                  </w:tcBorders>
                  <w:shd w:val="clear" w:color="000000" w:fill="E7E6E6"/>
                  <w:vAlign w:val="center"/>
                  <w:hideMark/>
                </w:tcPr>
                <w:p w14:paraId="05AE2591"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042" w:type="dxa"/>
                  <w:tcBorders>
                    <w:top w:val="single" w:sz="4" w:space="0" w:color="F2F2F2"/>
                    <w:left w:val="nil"/>
                    <w:bottom w:val="single" w:sz="4" w:space="0" w:color="F2F2F2"/>
                    <w:right w:val="single" w:sz="4" w:space="0" w:color="F2F2F2"/>
                  </w:tcBorders>
                  <w:shd w:val="clear" w:color="000000" w:fill="E7E6E6"/>
                  <w:noWrap/>
                  <w:vAlign w:val="center"/>
                  <w:hideMark/>
                </w:tcPr>
                <w:p w14:paraId="04E3EA05"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119" w:type="dxa"/>
                  <w:tcBorders>
                    <w:top w:val="single" w:sz="4" w:space="0" w:color="F2F2F2"/>
                    <w:left w:val="nil"/>
                    <w:bottom w:val="single" w:sz="4" w:space="0" w:color="F2F2F2"/>
                    <w:right w:val="nil"/>
                  </w:tcBorders>
                  <w:shd w:val="clear" w:color="000000" w:fill="E7E6E6"/>
                  <w:noWrap/>
                  <w:vAlign w:val="center"/>
                  <w:hideMark/>
                </w:tcPr>
                <w:p w14:paraId="36957A17"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231" w:type="dxa"/>
                  <w:tcBorders>
                    <w:top w:val="single" w:sz="4" w:space="0" w:color="F2F2F2"/>
                    <w:left w:val="nil"/>
                    <w:bottom w:val="single" w:sz="4" w:space="0" w:color="F2F2F2"/>
                    <w:right w:val="single" w:sz="4" w:space="0" w:color="F2F2F2"/>
                  </w:tcBorders>
                  <w:shd w:val="clear" w:color="000000" w:fill="E7E6E6"/>
                  <w:vAlign w:val="center"/>
                  <w:hideMark/>
                </w:tcPr>
                <w:p w14:paraId="1F7987A5"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r>
            <w:tr w:rsidR="00CC015D" w:rsidRPr="003E09AD" w14:paraId="2CA4D7FE" w14:textId="77777777" w:rsidTr="00CC015D">
              <w:trPr>
                <w:trHeight w:val="292"/>
              </w:trPr>
              <w:tc>
                <w:tcPr>
                  <w:tcW w:w="2549" w:type="dxa"/>
                  <w:tcBorders>
                    <w:top w:val="nil"/>
                    <w:left w:val="nil"/>
                    <w:bottom w:val="single" w:sz="4" w:space="0" w:color="F2F2F2"/>
                    <w:right w:val="single" w:sz="4" w:space="0" w:color="F2F2F2"/>
                  </w:tcBorders>
                  <w:shd w:val="clear" w:color="000000" w:fill="FFFFFF"/>
                  <w:vAlign w:val="center"/>
                  <w:hideMark/>
                </w:tcPr>
                <w:p w14:paraId="2EA02B0B"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Gerente Comercial</w:t>
                  </w:r>
                </w:p>
              </w:tc>
              <w:tc>
                <w:tcPr>
                  <w:tcW w:w="1563" w:type="dxa"/>
                  <w:tcBorders>
                    <w:top w:val="nil"/>
                    <w:left w:val="nil"/>
                    <w:bottom w:val="single" w:sz="4" w:space="0" w:color="F2F2F2"/>
                    <w:right w:val="single" w:sz="4" w:space="0" w:color="F2F2F2"/>
                  </w:tcBorders>
                  <w:shd w:val="clear" w:color="000000" w:fill="FFFFFF"/>
                  <w:noWrap/>
                  <w:vAlign w:val="center"/>
                  <w:hideMark/>
                </w:tcPr>
                <w:p w14:paraId="51A0158B"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20%</w:t>
                  </w:r>
                </w:p>
              </w:tc>
              <w:tc>
                <w:tcPr>
                  <w:tcW w:w="911" w:type="dxa"/>
                  <w:tcBorders>
                    <w:top w:val="nil"/>
                    <w:left w:val="nil"/>
                    <w:bottom w:val="single" w:sz="4" w:space="0" w:color="F2F2F2"/>
                    <w:right w:val="single" w:sz="4" w:space="0" w:color="F2F2F2"/>
                  </w:tcBorders>
                  <w:shd w:val="clear" w:color="000000" w:fill="FFFFFF"/>
                  <w:noWrap/>
                  <w:vAlign w:val="center"/>
                  <w:hideMark/>
                </w:tcPr>
                <w:p w14:paraId="05675974"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30%</w:t>
                  </w:r>
                </w:p>
              </w:tc>
              <w:tc>
                <w:tcPr>
                  <w:tcW w:w="1397" w:type="dxa"/>
                  <w:tcBorders>
                    <w:top w:val="nil"/>
                    <w:left w:val="nil"/>
                    <w:bottom w:val="single" w:sz="4" w:space="0" w:color="F2F2F2"/>
                    <w:right w:val="single" w:sz="4" w:space="0" w:color="F2F2F2"/>
                  </w:tcBorders>
                  <w:shd w:val="clear" w:color="000000" w:fill="FFFFFF"/>
                  <w:noWrap/>
                  <w:vAlign w:val="center"/>
                  <w:hideMark/>
                </w:tcPr>
                <w:p w14:paraId="68DF7674"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50%</w:t>
                  </w:r>
                </w:p>
              </w:tc>
              <w:tc>
                <w:tcPr>
                  <w:tcW w:w="1042" w:type="dxa"/>
                  <w:tcBorders>
                    <w:top w:val="nil"/>
                    <w:left w:val="nil"/>
                    <w:bottom w:val="single" w:sz="4" w:space="0" w:color="F2F2F2"/>
                    <w:right w:val="single" w:sz="4" w:space="0" w:color="F2F2F2"/>
                  </w:tcBorders>
                  <w:shd w:val="clear" w:color="000000" w:fill="FFFFFF"/>
                  <w:vAlign w:val="center"/>
                  <w:hideMark/>
                </w:tcPr>
                <w:p w14:paraId="5FD02CA3"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119" w:type="dxa"/>
                  <w:tcBorders>
                    <w:top w:val="nil"/>
                    <w:left w:val="nil"/>
                    <w:bottom w:val="single" w:sz="4" w:space="0" w:color="F2F2F2"/>
                    <w:right w:val="single" w:sz="4" w:space="0" w:color="F2F2F2"/>
                  </w:tcBorders>
                  <w:shd w:val="clear" w:color="000000" w:fill="FFFFFF"/>
                  <w:noWrap/>
                  <w:vAlign w:val="center"/>
                  <w:hideMark/>
                </w:tcPr>
                <w:p w14:paraId="504D43A7"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231" w:type="dxa"/>
                  <w:tcBorders>
                    <w:top w:val="nil"/>
                    <w:left w:val="nil"/>
                    <w:bottom w:val="single" w:sz="4" w:space="0" w:color="F2F2F2"/>
                    <w:right w:val="nil"/>
                  </w:tcBorders>
                  <w:shd w:val="clear" w:color="000000" w:fill="FFFFFF"/>
                  <w:noWrap/>
                  <w:vAlign w:val="center"/>
                  <w:hideMark/>
                </w:tcPr>
                <w:p w14:paraId="3F2940B9"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r>
            <w:tr w:rsidR="00CC015D" w:rsidRPr="003E09AD" w14:paraId="2EE4DDA1" w14:textId="77777777" w:rsidTr="00CC015D">
              <w:trPr>
                <w:trHeight w:val="560"/>
              </w:trPr>
              <w:tc>
                <w:tcPr>
                  <w:tcW w:w="2549" w:type="dxa"/>
                  <w:tcBorders>
                    <w:top w:val="nil"/>
                    <w:left w:val="nil"/>
                    <w:bottom w:val="single" w:sz="4" w:space="0" w:color="F2F2F2"/>
                    <w:right w:val="single" w:sz="4" w:space="0" w:color="F2F2F2"/>
                  </w:tcBorders>
                  <w:shd w:val="clear" w:color="000000" w:fill="E7E6E6"/>
                  <w:vAlign w:val="center"/>
                  <w:hideMark/>
                </w:tcPr>
                <w:p w14:paraId="4AFEFC7F"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Gerente-Geral/ Adjunto/ Supervisor</w:t>
                  </w:r>
                </w:p>
              </w:tc>
              <w:tc>
                <w:tcPr>
                  <w:tcW w:w="1563" w:type="dxa"/>
                  <w:tcBorders>
                    <w:top w:val="nil"/>
                    <w:left w:val="nil"/>
                    <w:bottom w:val="nil"/>
                    <w:right w:val="single" w:sz="4" w:space="0" w:color="F2F2F2"/>
                  </w:tcBorders>
                  <w:shd w:val="clear" w:color="000000" w:fill="E7E6E6"/>
                  <w:vAlign w:val="center"/>
                  <w:hideMark/>
                </w:tcPr>
                <w:p w14:paraId="33296A15"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20%</w:t>
                  </w:r>
                </w:p>
              </w:tc>
              <w:tc>
                <w:tcPr>
                  <w:tcW w:w="911" w:type="dxa"/>
                  <w:tcBorders>
                    <w:top w:val="nil"/>
                    <w:left w:val="nil"/>
                    <w:bottom w:val="nil"/>
                    <w:right w:val="single" w:sz="4" w:space="0" w:color="F2F2F2"/>
                  </w:tcBorders>
                  <w:shd w:val="clear" w:color="000000" w:fill="E7E6E6"/>
                  <w:vAlign w:val="center"/>
                  <w:hideMark/>
                </w:tcPr>
                <w:p w14:paraId="56D76837"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30%</w:t>
                  </w:r>
                </w:p>
              </w:tc>
              <w:tc>
                <w:tcPr>
                  <w:tcW w:w="1397" w:type="dxa"/>
                  <w:tcBorders>
                    <w:top w:val="nil"/>
                    <w:left w:val="nil"/>
                    <w:bottom w:val="nil"/>
                    <w:right w:val="single" w:sz="4" w:space="0" w:color="F2F2F2"/>
                  </w:tcBorders>
                  <w:shd w:val="clear" w:color="000000" w:fill="E7E6E6"/>
                  <w:vAlign w:val="center"/>
                  <w:hideMark/>
                </w:tcPr>
                <w:p w14:paraId="20C5F5DA"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042" w:type="dxa"/>
                  <w:tcBorders>
                    <w:top w:val="nil"/>
                    <w:left w:val="nil"/>
                    <w:bottom w:val="nil"/>
                    <w:right w:val="single" w:sz="4" w:space="0" w:color="F2F2F2"/>
                  </w:tcBorders>
                  <w:shd w:val="clear" w:color="000000" w:fill="E7E6E6"/>
                  <w:vAlign w:val="center"/>
                  <w:hideMark/>
                </w:tcPr>
                <w:p w14:paraId="657566F0"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50%</w:t>
                  </w:r>
                </w:p>
              </w:tc>
              <w:tc>
                <w:tcPr>
                  <w:tcW w:w="1119" w:type="dxa"/>
                  <w:tcBorders>
                    <w:top w:val="nil"/>
                    <w:left w:val="nil"/>
                    <w:bottom w:val="nil"/>
                    <w:right w:val="single" w:sz="4" w:space="0" w:color="F2F2F2"/>
                  </w:tcBorders>
                  <w:shd w:val="clear" w:color="000000" w:fill="E7E6E6"/>
                  <w:vAlign w:val="center"/>
                  <w:hideMark/>
                </w:tcPr>
                <w:p w14:paraId="63FAEE9C"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231" w:type="dxa"/>
                  <w:tcBorders>
                    <w:top w:val="nil"/>
                    <w:left w:val="nil"/>
                    <w:bottom w:val="nil"/>
                    <w:right w:val="single" w:sz="4" w:space="0" w:color="F2F2F2"/>
                  </w:tcBorders>
                  <w:shd w:val="clear" w:color="000000" w:fill="E7E6E6"/>
                  <w:vAlign w:val="center"/>
                  <w:hideMark/>
                </w:tcPr>
                <w:p w14:paraId="2CA0C651"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r>
            <w:tr w:rsidR="00CC015D" w:rsidRPr="003E09AD" w14:paraId="471CBAFC" w14:textId="77777777" w:rsidTr="00CC015D">
              <w:trPr>
                <w:trHeight w:val="292"/>
              </w:trPr>
              <w:tc>
                <w:tcPr>
                  <w:tcW w:w="2549" w:type="dxa"/>
                  <w:tcBorders>
                    <w:top w:val="nil"/>
                    <w:left w:val="nil"/>
                    <w:bottom w:val="single" w:sz="4" w:space="0" w:color="F2F2F2"/>
                    <w:right w:val="single" w:sz="4" w:space="0" w:color="F2F2F2"/>
                  </w:tcBorders>
                  <w:shd w:val="clear" w:color="000000" w:fill="FFFFFF"/>
                  <w:vAlign w:val="center"/>
                  <w:hideMark/>
                </w:tcPr>
                <w:p w14:paraId="1D1738EA"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ON/GN/GC/</w:t>
                  </w:r>
                </w:p>
              </w:tc>
              <w:tc>
                <w:tcPr>
                  <w:tcW w:w="1563" w:type="dxa"/>
                  <w:vMerge w:val="restart"/>
                  <w:tcBorders>
                    <w:top w:val="single" w:sz="4" w:space="0" w:color="F2F2F2"/>
                    <w:left w:val="single" w:sz="4" w:space="0" w:color="F2F2F2"/>
                    <w:bottom w:val="single" w:sz="4" w:space="0" w:color="F2F2F2"/>
                    <w:right w:val="single" w:sz="4" w:space="0" w:color="F2F2F2"/>
                  </w:tcBorders>
                  <w:shd w:val="clear" w:color="000000" w:fill="FFFFFF"/>
                  <w:noWrap/>
                  <w:vAlign w:val="center"/>
                  <w:hideMark/>
                </w:tcPr>
                <w:p w14:paraId="1EEF312B"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20%</w:t>
                  </w:r>
                </w:p>
              </w:tc>
              <w:tc>
                <w:tcPr>
                  <w:tcW w:w="911" w:type="dxa"/>
                  <w:vMerge w:val="restart"/>
                  <w:tcBorders>
                    <w:top w:val="single" w:sz="4" w:space="0" w:color="F2F2F2"/>
                    <w:left w:val="single" w:sz="4" w:space="0" w:color="F2F2F2"/>
                    <w:bottom w:val="single" w:sz="4" w:space="0" w:color="F2F2F2"/>
                    <w:right w:val="single" w:sz="4" w:space="0" w:color="F2F2F2"/>
                  </w:tcBorders>
                  <w:shd w:val="clear" w:color="000000" w:fill="FFFFFF"/>
                  <w:noWrap/>
                  <w:vAlign w:val="center"/>
                  <w:hideMark/>
                </w:tcPr>
                <w:p w14:paraId="593DEF06"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397" w:type="dxa"/>
                  <w:vMerge w:val="restart"/>
                  <w:tcBorders>
                    <w:top w:val="single" w:sz="4" w:space="0" w:color="F2F2F2"/>
                    <w:left w:val="single" w:sz="4" w:space="0" w:color="F2F2F2"/>
                    <w:bottom w:val="single" w:sz="4" w:space="0" w:color="F2F2F2"/>
                    <w:right w:val="single" w:sz="4" w:space="0" w:color="F2F2F2"/>
                  </w:tcBorders>
                  <w:shd w:val="clear" w:color="000000" w:fill="FFFFFF"/>
                  <w:noWrap/>
                  <w:vAlign w:val="center"/>
                  <w:hideMark/>
                </w:tcPr>
                <w:p w14:paraId="3807A00F"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042" w:type="dxa"/>
                  <w:vMerge w:val="restart"/>
                  <w:tcBorders>
                    <w:top w:val="single" w:sz="4" w:space="0" w:color="F2F2F2"/>
                    <w:left w:val="single" w:sz="4" w:space="0" w:color="F2F2F2"/>
                    <w:bottom w:val="single" w:sz="4" w:space="0" w:color="F2F2F2"/>
                    <w:right w:val="single" w:sz="4" w:space="0" w:color="F2F2F2"/>
                  </w:tcBorders>
                  <w:shd w:val="clear" w:color="000000" w:fill="FFFFFF"/>
                  <w:noWrap/>
                  <w:vAlign w:val="center"/>
                  <w:hideMark/>
                </w:tcPr>
                <w:p w14:paraId="179421FD"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30%</w:t>
                  </w:r>
                </w:p>
              </w:tc>
              <w:tc>
                <w:tcPr>
                  <w:tcW w:w="1119" w:type="dxa"/>
                  <w:vMerge w:val="restart"/>
                  <w:tcBorders>
                    <w:top w:val="single" w:sz="4" w:space="0" w:color="F2F2F2"/>
                    <w:left w:val="single" w:sz="4" w:space="0" w:color="F2F2F2"/>
                    <w:bottom w:val="single" w:sz="4" w:space="0" w:color="F2F2F2"/>
                    <w:right w:val="single" w:sz="4" w:space="0" w:color="F2F2F2"/>
                  </w:tcBorders>
                  <w:shd w:val="clear" w:color="000000" w:fill="FFFFFF"/>
                  <w:noWrap/>
                  <w:vAlign w:val="center"/>
                  <w:hideMark/>
                </w:tcPr>
                <w:p w14:paraId="28E8A5C7"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50%</w:t>
                  </w:r>
                </w:p>
              </w:tc>
              <w:tc>
                <w:tcPr>
                  <w:tcW w:w="1231" w:type="dxa"/>
                  <w:vMerge w:val="restart"/>
                  <w:tcBorders>
                    <w:top w:val="single" w:sz="4" w:space="0" w:color="F2F2F2"/>
                    <w:left w:val="single" w:sz="4" w:space="0" w:color="F2F2F2"/>
                    <w:bottom w:val="single" w:sz="4" w:space="0" w:color="F2F2F2"/>
                    <w:right w:val="nil"/>
                  </w:tcBorders>
                  <w:shd w:val="clear" w:color="000000" w:fill="FFFFFF"/>
                  <w:noWrap/>
                  <w:vAlign w:val="center"/>
                  <w:hideMark/>
                </w:tcPr>
                <w:p w14:paraId="002C85FC"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r>
            <w:tr w:rsidR="003E09AD" w:rsidRPr="003E09AD" w14:paraId="746B8D07" w14:textId="77777777" w:rsidTr="00CC015D">
              <w:trPr>
                <w:trHeight w:val="292"/>
              </w:trPr>
              <w:tc>
                <w:tcPr>
                  <w:tcW w:w="2549" w:type="dxa"/>
                  <w:tcBorders>
                    <w:top w:val="nil"/>
                    <w:left w:val="nil"/>
                    <w:bottom w:val="single" w:sz="4" w:space="0" w:color="F2F2F2"/>
                    <w:right w:val="single" w:sz="4" w:space="0" w:color="F2F2F2"/>
                  </w:tcBorders>
                  <w:shd w:val="clear" w:color="000000" w:fill="FFFFFF"/>
                  <w:vAlign w:val="center"/>
                  <w:hideMark/>
                </w:tcPr>
                <w:p w14:paraId="343E365B"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Gerente de Mercado</w:t>
                  </w:r>
                </w:p>
              </w:tc>
              <w:tc>
                <w:tcPr>
                  <w:tcW w:w="1563" w:type="dxa"/>
                  <w:vMerge/>
                  <w:tcBorders>
                    <w:top w:val="single" w:sz="4" w:space="0" w:color="F2F2F2"/>
                    <w:left w:val="single" w:sz="4" w:space="0" w:color="F2F2F2"/>
                    <w:bottom w:val="single" w:sz="4" w:space="0" w:color="F2F2F2"/>
                    <w:right w:val="single" w:sz="4" w:space="0" w:color="F2F2F2"/>
                  </w:tcBorders>
                  <w:vAlign w:val="center"/>
                  <w:hideMark/>
                </w:tcPr>
                <w:p w14:paraId="51B81CFF"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p>
              </w:tc>
              <w:tc>
                <w:tcPr>
                  <w:tcW w:w="911" w:type="dxa"/>
                  <w:vMerge/>
                  <w:tcBorders>
                    <w:top w:val="single" w:sz="4" w:space="0" w:color="F2F2F2"/>
                    <w:left w:val="single" w:sz="4" w:space="0" w:color="F2F2F2"/>
                    <w:bottom w:val="single" w:sz="4" w:space="0" w:color="F2F2F2"/>
                    <w:right w:val="single" w:sz="4" w:space="0" w:color="F2F2F2"/>
                  </w:tcBorders>
                  <w:vAlign w:val="center"/>
                  <w:hideMark/>
                </w:tcPr>
                <w:p w14:paraId="1F3D379C"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p>
              </w:tc>
              <w:tc>
                <w:tcPr>
                  <w:tcW w:w="1397" w:type="dxa"/>
                  <w:vMerge/>
                  <w:tcBorders>
                    <w:top w:val="single" w:sz="4" w:space="0" w:color="F2F2F2"/>
                    <w:left w:val="single" w:sz="4" w:space="0" w:color="F2F2F2"/>
                    <w:bottom w:val="single" w:sz="4" w:space="0" w:color="F2F2F2"/>
                    <w:right w:val="single" w:sz="4" w:space="0" w:color="F2F2F2"/>
                  </w:tcBorders>
                  <w:vAlign w:val="center"/>
                  <w:hideMark/>
                </w:tcPr>
                <w:p w14:paraId="0A8B0E67"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p>
              </w:tc>
              <w:tc>
                <w:tcPr>
                  <w:tcW w:w="1042" w:type="dxa"/>
                  <w:vMerge/>
                  <w:tcBorders>
                    <w:top w:val="single" w:sz="4" w:space="0" w:color="F2F2F2"/>
                    <w:left w:val="single" w:sz="4" w:space="0" w:color="F2F2F2"/>
                    <w:bottom w:val="single" w:sz="4" w:space="0" w:color="F2F2F2"/>
                    <w:right w:val="single" w:sz="4" w:space="0" w:color="F2F2F2"/>
                  </w:tcBorders>
                  <w:vAlign w:val="center"/>
                  <w:hideMark/>
                </w:tcPr>
                <w:p w14:paraId="13B437C6"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p>
              </w:tc>
              <w:tc>
                <w:tcPr>
                  <w:tcW w:w="1119" w:type="dxa"/>
                  <w:vMerge/>
                  <w:tcBorders>
                    <w:top w:val="single" w:sz="4" w:space="0" w:color="F2F2F2"/>
                    <w:left w:val="single" w:sz="4" w:space="0" w:color="F2F2F2"/>
                    <w:bottom w:val="single" w:sz="4" w:space="0" w:color="F2F2F2"/>
                    <w:right w:val="single" w:sz="4" w:space="0" w:color="F2F2F2"/>
                  </w:tcBorders>
                  <w:vAlign w:val="center"/>
                  <w:hideMark/>
                </w:tcPr>
                <w:p w14:paraId="03CC5CCF"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p>
              </w:tc>
              <w:tc>
                <w:tcPr>
                  <w:tcW w:w="1231" w:type="dxa"/>
                  <w:vMerge/>
                  <w:tcBorders>
                    <w:top w:val="single" w:sz="4" w:space="0" w:color="F2F2F2"/>
                    <w:left w:val="single" w:sz="4" w:space="0" w:color="F2F2F2"/>
                    <w:bottom w:val="single" w:sz="4" w:space="0" w:color="F2F2F2"/>
                    <w:right w:val="nil"/>
                  </w:tcBorders>
                  <w:vAlign w:val="center"/>
                  <w:hideMark/>
                </w:tcPr>
                <w:p w14:paraId="52111550"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p>
              </w:tc>
            </w:tr>
            <w:tr w:rsidR="00CC015D" w:rsidRPr="003E09AD" w14:paraId="5173178F" w14:textId="77777777" w:rsidTr="00CC015D">
              <w:trPr>
                <w:trHeight w:val="840"/>
              </w:trPr>
              <w:tc>
                <w:tcPr>
                  <w:tcW w:w="2549" w:type="dxa"/>
                  <w:tcBorders>
                    <w:top w:val="nil"/>
                    <w:left w:val="nil"/>
                    <w:bottom w:val="single" w:sz="4" w:space="0" w:color="F2F2F2"/>
                    <w:right w:val="single" w:sz="4" w:space="0" w:color="F2F2F2"/>
                  </w:tcBorders>
                  <w:shd w:val="clear" w:color="000000" w:fill="E7E6E6"/>
                  <w:vAlign w:val="center"/>
                  <w:hideMark/>
                </w:tcPr>
                <w:p w14:paraId="5D0E461E"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Gerente de Relacionamento de Agronegócios</w:t>
                  </w:r>
                </w:p>
              </w:tc>
              <w:tc>
                <w:tcPr>
                  <w:tcW w:w="1563" w:type="dxa"/>
                  <w:tcBorders>
                    <w:top w:val="nil"/>
                    <w:left w:val="nil"/>
                    <w:bottom w:val="nil"/>
                    <w:right w:val="single" w:sz="4" w:space="0" w:color="F2F2F2"/>
                  </w:tcBorders>
                  <w:shd w:val="clear" w:color="000000" w:fill="E7E6E6"/>
                  <w:vAlign w:val="center"/>
                  <w:hideMark/>
                </w:tcPr>
                <w:p w14:paraId="07A4E16A"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20%</w:t>
                  </w:r>
                </w:p>
              </w:tc>
              <w:tc>
                <w:tcPr>
                  <w:tcW w:w="911" w:type="dxa"/>
                  <w:tcBorders>
                    <w:top w:val="nil"/>
                    <w:left w:val="nil"/>
                    <w:bottom w:val="nil"/>
                    <w:right w:val="single" w:sz="4" w:space="0" w:color="F2F2F2"/>
                  </w:tcBorders>
                  <w:shd w:val="clear" w:color="000000" w:fill="E7E6E6"/>
                  <w:vAlign w:val="center"/>
                  <w:hideMark/>
                </w:tcPr>
                <w:p w14:paraId="5B68644A"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30%</w:t>
                  </w:r>
                </w:p>
              </w:tc>
              <w:tc>
                <w:tcPr>
                  <w:tcW w:w="1397" w:type="dxa"/>
                  <w:tcBorders>
                    <w:top w:val="nil"/>
                    <w:left w:val="nil"/>
                    <w:bottom w:val="nil"/>
                    <w:right w:val="single" w:sz="4" w:space="0" w:color="F2F2F2"/>
                  </w:tcBorders>
                  <w:shd w:val="clear" w:color="000000" w:fill="E7E6E6"/>
                  <w:vAlign w:val="center"/>
                  <w:hideMark/>
                </w:tcPr>
                <w:p w14:paraId="4EDC6158"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042" w:type="dxa"/>
                  <w:tcBorders>
                    <w:top w:val="nil"/>
                    <w:left w:val="nil"/>
                    <w:bottom w:val="nil"/>
                    <w:right w:val="single" w:sz="4" w:space="0" w:color="F2F2F2"/>
                  </w:tcBorders>
                  <w:shd w:val="clear" w:color="000000" w:fill="E7E6E6"/>
                  <w:vAlign w:val="center"/>
                  <w:hideMark/>
                </w:tcPr>
                <w:p w14:paraId="778F4D79"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119" w:type="dxa"/>
                  <w:tcBorders>
                    <w:top w:val="nil"/>
                    <w:left w:val="nil"/>
                    <w:bottom w:val="nil"/>
                    <w:right w:val="single" w:sz="4" w:space="0" w:color="F2F2F2"/>
                  </w:tcBorders>
                  <w:shd w:val="clear" w:color="000000" w:fill="E7E6E6"/>
                  <w:vAlign w:val="center"/>
                  <w:hideMark/>
                </w:tcPr>
                <w:p w14:paraId="4F9C195C"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50%</w:t>
                  </w:r>
                </w:p>
              </w:tc>
              <w:tc>
                <w:tcPr>
                  <w:tcW w:w="1231" w:type="dxa"/>
                  <w:tcBorders>
                    <w:top w:val="nil"/>
                    <w:left w:val="nil"/>
                    <w:bottom w:val="nil"/>
                    <w:right w:val="single" w:sz="4" w:space="0" w:color="F2F2F2"/>
                  </w:tcBorders>
                  <w:shd w:val="clear" w:color="000000" w:fill="E7E6E6"/>
                  <w:vAlign w:val="center"/>
                  <w:hideMark/>
                </w:tcPr>
                <w:p w14:paraId="3285C8BF"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r>
            <w:tr w:rsidR="00CC015D" w:rsidRPr="003E09AD" w14:paraId="17D5CDFC" w14:textId="77777777" w:rsidTr="00CC015D">
              <w:trPr>
                <w:trHeight w:val="584"/>
              </w:trPr>
              <w:tc>
                <w:tcPr>
                  <w:tcW w:w="2549" w:type="dxa"/>
                  <w:tcBorders>
                    <w:top w:val="nil"/>
                    <w:left w:val="nil"/>
                    <w:bottom w:val="single" w:sz="4" w:space="0" w:color="F2F2F2"/>
                    <w:right w:val="single" w:sz="4" w:space="0" w:color="F2F2F2"/>
                  </w:tcBorders>
                  <w:shd w:val="clear" w:color="000000" w:fill="FFFFFF"/>
                  <w:vAlign w:val="center"/>
                  <w:hideMark/>
                </w:tcPr>
                <w:p w14:paraId="475BB06D"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Gerente de Negócios Corporativo</w:t>
                  </w:r>
                  <w:r w:rsidRPr="003E09AD">
                    <w:rPr>
                      <w:rFonts w:ascii="Calibri" w:eastAsia="Times New Roman" w:hAnsi="Calibri" w:cs="Calibri"/>
                      <w:color w:val="000000"/>
                      <w:sz w:val="20"/>
                      <w:szCs w:val="20"/>
                      <w:vertAlign w:val="superscript"/>
                      <w:lang w:eastAsia="pt-BR"/>
                    </w:rPr>
                    <w:t>3</w:t>
                  </w:r>
                </w:p>
              </w:tc>
              <w:tc>
                <w:tcPr>
                  <w:tcW w:w="1563" w:type="dxa"/>
                  <w:tcBorders>
                    <w:top w:val="single" w:sz="4" w:space="0" w:color="F2F2F2"/>
                    <w:left w:val="nil"/>
                    <w:bottom w:val="single" w:sz="4" w:space="0" w:color="F2F2F2"/>
                    <w:right w:val="single" w:sz="4" w:space="0" w:color="F2F2F2"/>
                  </w:tcBorders>
                  <w:shd w:val="clear" w:color="000000" w:fill="FFFFFF"/>
                  <w:noWrap/>
                  <w:vAlign w:val="center"/>
                  <w:hideMark/>
                </w:tcPr>
                <w:p w14:paraId="238C1985"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20%</w:t>
                  </w:r>
                </w:p>
              </w:tc>
              <w:tc>
                <w:tcPr>
                  <w:tcW w:w="911" w:type="dxa"/>
                  <w:tcBorders>
                    <w:top w:val="single" w:sz="4" w:space="0" w:color="F2F2F2"/>
                    <w:left w:val="nil"/>
                    <w:bottom w:val="single" w:sz="4" w:space="0" w:color="F2F2F2"/>
                    <w:right w:val="single" w:sz="4" w:space="0" w:color="F2F2F2"/>
                  </w:tcBorders>
                  <w:shd w:val="clear" w:color="000000" w:fill="FFFFFF"/>
                  <w:noWrap/>
                  <w:vAlign w:val="center"/>
                  <w:hideMark/>
                </w:tcPr>
                <w:p w14:paraId="50BBC793"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30%</w:t>
                  </w:r>
                </w:p>
              </w:tc>
              <w:tc>
                <w:tcPr>
                  <w:tcW w:w="1397" w:type="dxa"/>
                  <w:tcBorders>
                    <w:top w:val="single" w:sz="4" w:space="0" w:color="F2F2F2"/>
                    <w:left w:val="nil"/>
                    <w:bottom w:val="single" w:sz="4" w:space="0" w:color="F2F2F2"/>
                    <w:right w:val="single" w:sz="4" w:space="0" w:color="F2F2F2"/>
                  </w:tcBorders>
                  <w:shd w:val="clear" w:color="000000" w:fill="FFFFFF"/>
                  <w:noWrap/>
                  <w:vAlign w:val="center"/>
                  <w:hideMark/>
                </w:tcPr>
                <w:p w14:paraId="4EE43E73"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042" w:type="dxa"/>
                  <w:tcBorders>
                    <w:top w:val="single" w:sz="4" w:space="0" w:color="F2F2F2"/>
                    <w:left w:val="nil"/>
                    <w:bottom w:val="single" w:sz="4" w:space="0" w:color="F2F2F2"/>
                    <w:right w:val="single" w:sz="4" w:space="0" w:color="F2F2F2"/>
                  </w:tcBorders>
                  <w:shd w:val="clear" w:color="000000" w:fill="FFFFFF"/>
                  <w:noWrap/>
                  <w:vAlign w:val="center"/>
                  <w:hideMark/>
                </w:tcPr>
                <w:p w14:paraId="253C98C5"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119" w:type="dxa"/>
                  <w:tcBorders>
                    <w:top w:val="single" w:sz="4" w:space="0" w:color="F2F2F2"/>
                    <w:left w:val="nil"/>
                    <w:bottom w:val="single" w:sz="4" w:space="0" w:color="F2F2F2"/>
                    <w:right w:val="single" w:sz="4" w:space="0" w:color="F2F2F2"/>
                  </w:tcBorders>
                  <w:shd w:val="clear" w:color="000000" w:fill="FFFFFF"/>
                  <w:noWrap/>
                  <w:vAlign w:val="center"/>
                  <w:hideMark/>
                </w:tcPr>
                <w:p w14:paraId="20BD92FD"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50%</w:t>
                  </w:r>
                </w:p>
              </w:tc>
              <w:tc>
                <w:tcPr>
                  <w:tcW w:w="1231" w:type="dxa"/>
                  <w:tcBorders>
                    <w:top w:val="single" w:sz="4" w:space="0" w:color="F2F2F2"/>
                    <w:left w:val="nil"/>
                    <w:bottom w:val="single" w:sz="4" w:space="0" w:color="F2F2F2"/>
                    <w:right w:val="nil"/>
                  </w:tcBorders>
                  <w:shd w:val="clear" w:color="000000" w:fill="FFFFFF"/>
                  <w:noWrap/>
                  <w:vAlign w:val="center"/>
                  <w:hideMark/>
                </w:tcPr>
                <w:p w14:paraId="23BCAA16"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r>
            <w:tr w:rsidR="00CC015D" w:rsidRPr="003E09AD" w14:paraId="754AF758" w14:textId="77777777" w:rsidTr="00CC015D">
              <w:trPr>
                <w:trHeight w:val="840"/>
              </w:trPr>
              <w:tc>
                <w:tcPr>
                  <w:tcW w:w="2549" w:type="dxa"/>
                  <w:tcBorders>
                    <w:top w:val="nil"/>
                    <w:left w:val="nil"/>
                    <w:bottom w:val="single" w:sz="4" w:space="0" w:color="F2F2F2"/>
                    <w:right w:val="single" w:sz="4" w:space="0" w:color="F2F2F2"/>
                  </w:tcBorders>
                  <w:shd w:val="clear" w:color="000000" w:fill="E7E6E6"/>
                  <w:vAlign w:val="center"/>
                  <w:hideMark/>
                </w:tcPr>
                <w:p w14:paraId="004BF4AC" w14:textId="77777777" w:rsidR="003E09AD" w:rsidRPr="003E09AD" w:rsidRDefault="003E09AD" w:rsidP="003E09AD">
                  <w:pPr>
                    <w:spacing w:after="0" w:line="240" w:lineRule="auto"/>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 xml:space="preserve">Plataformistas, Escriturários e Demais Funções </w:t>
                  </w:r>
                </w:p>
              </w:tc>
              <w:tc>
                <w:tcPr>
                  <w:tcW w:w="1563" w:type="dxa"/>
                  <w:tcBorders>
                    <w:top w:val="nil"/>
                    <w:left w:val="nil"/>
                    <w:bottom w:val="nil"/>
                    <w:right w:val="single" w:sz="4" w:space="0" w:color="F2F2F2"/>
                  </w:tcBorders>
                  <w:shd w:val="clear" w:color="000000" w:fill="E7E6E6"/>
                  <w:vAlign w:val="center"/>
                  <w:hideMark/>
                </w:tcPr>
                <w:p w14:paraId="7CF61FD4"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20%</w:t>
                  </w:r>
                </w:p>
              </w:tc>
              <w:tc>
                <w:tcPr>
                  <w:tcW w:w="911" w:type="dxa"/>
                  <w:tcBorders>
                    <w:top w:val="nil"/>
                    <w:left w:val="nil"/>
                    <w:bottom w:val="nil"/>
                    <w:right w:val="single" w:sz="4" w:space="0" w:color="F2F2F2"/>
                  </w:tcBorders>
                  <w:shd w:val="clear" w:color="000000" w:fill="E7E6E6"/>
                  <w:vAlign w:val="center"/>
                  <w:hideMark/>
                </w:tcPr>
                <w:p w14:paraId="093014D0"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397" w:type="dxa"/>
                  <w:tcBorders>
                    <w:top w:val="nil"/>
                    <w:left w:val="nil"/>
                    <w:bottom w:val="nil"/>
                    <w:right w:val="single" w:sz="4" w:space="0" w:color="F2F2F2"/>
                  </w:tcBorders>
                  <w:shd w:val="clear" w:color="000000" w:fill="E7E6E6"/>
                  <w:vAlign w:val="center"/>
                  <w:hideMark/>
                </w:tcPr>
                <w:p w14:paraId="149B16C1"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042" w:type="dxa"/>
                  <w:tcBorders>
                    <w:top w:val="nil"/>
                    <w:left w:val="nil"/>
                    <w:bottom w:val="nil"/>
                    <w:right w:val="single" w:sz="4" w:space="0" w:color="F2F2F2"/>
                  </w:tcBorders>
                  <w:shd w:val="clear" w:color="000000" w:fill="E7E6E6"/>
                  <w:vAlign w:val="center"/>
                  <w:hideMark/>
                </w:tcPr>
                <w:p w14:paraId="1CC49D84"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30%</w:t>
                  </w:r>
                </w:p>
              </w:tc>
              <w:tc>
                <w:tcPr>
                  <w:tcW w:w="1119" w:type="dxa"/>
                  <w:tcBorders>
                    <w:top w:val="nil"/>
                    <w:left w:val="nil"/>
                    <w:bottom w:val="nil"/>
                    <w:right w:val="single" w:sz="4" w:space="0" w:color="F2F2F2"/>
                  </w:tcBorders>
                  <w:shd w:val="clear" w:color="000000" w:fill="E7E6E6"/>
                  <w:vAlign w:val="center"/>
                  <w:hideMark/>
                </w:tcPr>
                <w:p w14:paraId="3DDB9BA8" w14:textId="77777777" w:rsidR="003E09AD" w:rsidRPr="003E09AD" w:rsidRDefault="003E09AD" w:rsidP="003E09AD">
                  <w:pPr>
                    <w:spacing w:after="0" w:line="240" w:lineRule="auto"/>
                    <w:jc w:val="center"/>
                    <w:rPr>
                      <w:rFonts w:ascii="Calibri" w:eastAsia="Times New Roman" w:hAnsi="Calibri" w:cs="Calibri"/>
                      <w:color w:val="000000"/>
                      <w:sz w:val="20"/>
                      <w:szCs w:val="20"/>
                      <w:lang w:eastAsia="pt-BR"/>
                    </w:rPr>
                  </w:pPr>
                  <w:r w:rsidRPr="003E09AD">
                    <w:rPr>
                      <w:rFonts w:ascii="Calibri" w:eastAsia="Times New Roman" w:hAnsi="Calibri" w:cs="Calibri"/>
                      <w:color w:val="000000"/>
                      <w:sz w:val="20"/>
                      <w:szCs w:val="20"/>
                      <w:lang w:eastAsia="pt-BR"/>
                    </w:rPr>
                    <w:t>-</w:t>
                  </w:r>
                </w:p>
              </w:tc>
              <w:tc>
                <w:tcPr>
                  <w:tcW w:w="1231" w:type="dxa"/>
                  <w:tcBorders>
                    <w:top w:val="nil"/>
                    <w:left w:val="nil"/>
                    <w:bottom w:val="nil"/>
                    <w:right w:val="single" w:sz="4" w:space="0" w:color="F2F2F2"/>
                  </w:tcBorders>
                  <w:shd w:val="clear" w:color="000000" w:fill="E7E6E6"/>
                  <w:vAlign w:val="center"/>
                  <w:hideMark/>
                </w:tcPr>
                <w:p w14:paraId="2CEF598B" w14:textId="7852554E" w:rsidR="003E09AD" w:rsidRPr="003E09AD" w:rsidRDefault="00005CD6" w:rsidP="003E09AD">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50%</w:t>
                  </w:r>
                </w:p>
              </w:tc>
            </w:tr>
            <w:tr w:rsidR="003E09AD" w:rsidRPr="003E09AD" w14:paraId="0E587B0B" w14:textId="77777777" w:rsidTr="00CC015D">
              <w:trPr>
                <w:trHeight w:val="80"/>
              </w:trPr>
              <w:tc>
                <w:tcPr>
                  <w:tcW w:w="9814" w:type="dxa"/>
                  <w:gridSpan w:val="7"/>
                  <w:tcBorders>
                    <w:top w:val="nil"/>
                    <w:left w:val="nil"/>
                    <w:bottom w:val="nil"/>
                    <w:right w:val="nil"/>
                  </w:tcBorders>
                  <w:shd w:val="clear" w:color="auto" w:fill="auto"/>
                  <w:vAlign w:val="center"/>
                  <w:hideMark/>
                </w:tcPr>
                <w:p w14:paraId="57FFE09B" w14:textId="77777777" w:rsidR="003E09AD" w:rsidRPr="003E09AD" w:rsidRDefault="003E09AD" w:rsidP="003E09AD">
                  <w:pPr>
                    <w:spacing w:after="0" w:line="240" w:lineRule="auto"/>
                    <w:rPr>
                      <w:rFonts w:ascii="Calibri" w:eastAsia="Times New Roman" w:hAnsi="Calibri" w:cs="Calibri"/>
                      <w:color w:val="000000"/>
                      <w:sz w:val="16"/>
                      <w:szCs w:val="16"/>
                      <w:lang w:eastAsia="pt-BR"/>
                    </w:rPr>
                  </w:pPr>
                  <w:r w:rsidRPr="003E09AD">
                    <w:rPr>
                      <w:rFonts w:ascii="Calibri" w:eastAsia="Times New Roman" w:hAnsi="Calibri" w:cs="Calibri"/>
                      <w:color w:val="000000"/>
                      <w:sz w:val="16"/>
                      <w:szCs w:val="16"/>
                      <w:lang w:eastAsia="pt-BR"/>
                    </w:rPr>
                    <w:t>¹ A esfera Banco corresponde aos Indicadores de Performance do Banrisul.</w:t>
                  </w:r>
                </w:p>
              </w:tc>
            </w:tr>
            <w:tr w:rsidR="003E09AD" w:rsidRPr="003E09AD" w14:paraId="6EAFDAA6" w14:textId="77777777" w:rsidTr="00CC015D">
              <w:trPr>
                <w:trHeight w:val="164"/>
              </w:trPr>
              <w:tc>
                <w:tcPr>
                  <w:tcW w:w="9814" w:type="dxa"/>
                  <w:gridSpan w:val="7"/>
                  <w:tcBorders>
                    <w:top w:val="nil"/>
                    <w:left w:val="nil"/>
                    <w:bottom w:val="nil"/>
                    <w:right w:val="nil"/>
                  </w:tcBorders>
                  <w:shd w:val="clear" w:color="auto" w:fill="auto"/>
                  <w:hideMark/>
                </w:tcPr>
                <w:p w14:paraId="73751B93" w14:textId="77777777" w:rsidR="003E09AD" w:rsidRPr="003E09AD" w:rsidRDefault="003E09AD" w:rsidP="003E09AD">
                  <w:pPr>
                    <w:spacing w:after="0" w:line="240" w:lineRule="auto"/>
                    <w:rPr>
                      <w:rFonts w:ascii="Calibri" w:eastAsia="Times New Roman" w:hAnsi="Calibri" w:cs="Calibri"/>
                      <w:color w:val="000000"/>
                      <w:sz w:val="16"/>
                      <w:szCs w:val="16"/>
                      <w:lang w:eastAsia="pt-BR"/>
                    </w:rPr>
                  </w:pPr>
                  <w:proofErr w:type="gramStart"/>
                  <w:r w:rsidRPr="003E09AD">
                    <w:rPr>
                      <w:rFonts w:ascii="Calibri" w:eastAsia="Times New Roman" w:hAnsi="Calibri" w:cs="Calibri"/>
                      <w:color w:val="000000"/>
                      <w:sz w:val="16"/>
                      <w:szCs w:val="16"/>
                      <w:lang w:eastAsia="pt-BR"/>
                    </w:rPr>
                    <w:t>² Os</w:t>
                  </w:r>
                  <w:proofErr w:type="gramEnd"/>
                  <w:r w:rsidRPr="003E09AD">
                    <w:rPr>
                      <w:rFonts w:ascii="Calibri" w:eastAsia="Times New Roman" w:hAnsi="Calibri" w:cs="Calibri"/>
                      <w:color w:val="000000"/>
                      <w:sz w:val="16"/>
                      <w:szCs w:val="16"/>
                      <w:lang w:eastAsia="pt-BR"/>
                    </w:rPr>
                    <w:t xml:space="preserve"> indicadores dessas esferas correspondem ao Modelo de Desempenho Comercial.</w:t>
                  </w:r>
                </w:p>
              </w:tc>
            </w:tr>
            <w:tr w:rsidR="003E09AD" w:rsidRPr="003E09AD" w14:paraId="76D6B19D" w14:textId="77777777" w:rsidTr="00CC015D">
              <w:trPr>
                <w:trHeight w:val="292"/>
              </w:trPr>
              <w:tc>
                <w:tcPr>
                  <w:tcW w:w="9814" w:type="dxa"/>
                  <w:gridSpan w:val="7"/>
                  <w:tcBorders>
                    <w:top w:val="nil"/>
                    <w:left w:val="nil"/>
                    <w:bottom w:val="nil"/>
                    <w:right w:val="nil"/>
                  </w:tcBorders>
                  <w:shd w:val="clear" w:color="auto" w:fill="auto"/>
                  <w:hideMark/>
                </w:tcPr>
                <w:p w14:paraId="6B640312" w14:textId="77777777" w:rsidR="003E09AD" w:rsidRPr="003E09AD" w:rsidRDefault="003E09AD" w:rsidP="003E09AD">
                  <w:pPr>
                    <w:spacing w:after="0" w:line="240" w:lineRule="auto"/>
                    <w:rPr>
                      <w:rFonts w:ascii="Calibri" w:eastAsia="Times New Roman" w:hAnsi="Calibri" w:cs="Calibri"/>
                      <w:color w:val="000000"/>
                      <w:sz w:val="16"/>
                      <w:szCs w:val="16"/>
                      <w:lang w:eastAsia="pt-BR"/>
                    </w:rPr>
                  </w:pPr>
                  <w:r w:rsidRPr="003E09AD">
                    <w:rPr>
                      <w:rFonts w:ascii="Calibri" w:eastAsia="Times New Roman" w:hAnsi="Calibri" w:cs="Calibri"/>
                      <w:color w:val="000000"/>
                      <w:sz w:val="16"/>
                      <w:szCs w:val="16"/>
                      <w:vertAlign w:val="superscript"/>
                      <w:lang w:eastAsia="pt-BR"/>
                    </w:rPr>
                    <w:t>3</w:t>
                  </w:r>
                  <w:r w:rsidRPr="003E09AD">
                    <w:rPr>
                      <w:rFonts w:ascii="Calibri" w:eastAsia="Times New Roman" w:hAnsi="Calibri" w:cs="Calibri"/>
                      <w:color w:val="000000"/>
                      <w:sz w:val="16"/>
                      <w:szCs w:val="16"/>
                      <w:lang w:eastAsia="pt-BR"/>
                    </w:rPr>
                    <w:t xml:space="preserve"> A esfera </w:t>
                  </w:r>
                  <w:proofErr w:type="spellStart"/>
                  <w:r w:rsidRPr="003E09AD">
                    <w:rPr>
                      <w:rFonts w:ascii="Calibri" w:eastAsia="Times New Roman" w:hAnsi="Calibri" w:cs="Calibri"/>
                      <w:color w:val="000000"/>
                      <w:sz w:val="16"/>
                      <w:szCs w:val="16"/>
                      <w:lang w:eastAsia="pt-BR"/>
                    </w:rPr>
                    <w:t>Sureg</w:t>
                  </w:r>
                  <w:proofErr w:type="spellEnd"/>
                  <w:r w:rsidRPr="003E09AD">
                    <w:rPr>
                      <w:rFonts w:ascii="Calibri" w:eastAsia="Times New Roman" w:hAnsi="Calibri" w:cs="Calibri"/>
                      <w:color w:val="000000"/>
                      <w:sz w:val="16"/>
                      <w:szCs w:val="16"/>
                      <w:lang w:eastAsia="pt-BR"/>
                    </w:rPr>
                    <w:t xml:space="preserve"> dos </w:t>
                  </w:r>
                  <w:proofErr w:type="spellStart"/>
                  <w:r w:rsidRPr="003E09AD">
                    <w:rPr>
                      <w:rFonts w:ascii="Calibri" w:eastAsia="Times New Roman" w:hAnsi="Calibri" w:cs="Calibri"/>
                      <w:color w:val="000000"/>
                      <w:sz w:val="16"/>
                      <w:szCs w:val="16"/>
                      <w:lang w:eastAsia="pt-BR"/>
                    </w:rPr>
                    <w:t>GNCs</w:t>
                  </w:r>
                  <w:proofErr w:type="spellEnd"/>
                  <w:r w:rsidRPr="003E09AD">
                    <w:rPr>
                      <w:rFonts w:ascii="Calibri" w:eastAsia="Times New Roman" w:hAnsi="Calibri" w:cs="Calibri"/>
                      <w:color w:val="000000"/>
                      <w:sz w:val="16"/>
                      <w:szCs w:val="16"/>
                      <w:lang w:eastAsia="pt-BR"/>
                    </w:rPr>
                    <w:t xml:space="preserve"> será correspondente aos Indicadores de Performance da Unidade Comercial Corporativa.</w:t>
                  </w:r>
                </w:p>
              </w:tc>
            </w:tr>
          </w:tbl>
          <w:p w14:paraId="0FB06809" w14:textId="34A7A52C" w:rsidR="00294B57" w:rsidRPr="008345BD" w:rsidRDefault="00294B57" w:rsidP="00294B57">
            <w:pPr>
              <w:rPr>
                <w:rFonts w:ascii="Segoe UI" w:hAnsi="Segoe UI" w:cs="Segoe UI"/>
                <w:b/>
                <w:bCs/>
                <w:color w:val="1F3864" w:themeColor="accent1" w:themeShade="80"/>
                <w:kern w:val="24"/>
                <w:sz w:val="20"/>
                <w:szCs w:val="20"/>
                <w:u w:val="single"/>
              </w:rPr>
            </w:pPr>
          </w:p>
        </w:tc>
      </w:tr>
    </w:tbl>
    <w:p w14:paraId="7DD2BC0F" w14:textId="77777777" w:rsidR="0010090F" w:rsidRDefault="0010090F" w:rsidP="00CC015D">
      <w:pPr>
        <w:pStyle w:val="Recuodecorpodetexto"/>
        <w:ind w:firstLine="0"/>
        <w:rPr>
          <w:rFonts w:ascii="Segoe UI" w:hAnsi="Segoe UI" w:cs="Segoe UI"/>
          <w:color w:val="1F3864" w:themeColor="accent1" w:themeShade="80"/>
          <w:kern w:val="24"/>
          <w:sz w:val="20"/>
        </w:rPr>
      </w:pPr>
    </w:p>
    <w:p w14:paraId="1F057583" w14:textId="6661DEA4" w:rsidR="00CC015D" w:rsidRPr="000C3069" w:rsidRDefault="00CC015D" w:rsidP="00CC015D">
      <w:pPr>
        <w:pStyle w:val="Recuodecorpodetexto"/>
        <w:ind w:firstLine="0"/>
        <w:rPr>
          <w:rFonts w:ascii="Segoe UI" w:hAnsi="Segoe UI" w:cs="Segoe UI"/>
          <w:color w:val="auto"/>
          <w:kern w:val="24"/>
          <w:sz w:val="20"/>
        </w:rPr>
      </w:pPr>
      <w:r w:rsidRPr="000C3069">
        <w:rPr>
          <w:rFonts w:ascii="Segoe UI" w:hAnsi="Segoe UI" w:cs="Segoe UI"/>
          <w:color w:val="auto"/>
          <w:kern w:val="24"/>
          <w:sz w:val="20"/>
        </w:rPr>
        <w:t>PESOS SUPERINTEDÊNCIAS REGIONAIS</w:t>
      </w:r>
    </w:p>
    <w:p w14:paraId="53A71849" w14:textId="77777777" w:rsidR="0010090F" w:rsidRDefault="0010090F" w:rsidP="00CC015D">
      <w:pPr>
        <w:pStyle w:val="Recuodecorpodetexto"/>
        <w:ind w:firstLine="0"/>
        <w:rPr>
          <w:rFonts w:ascii="Segoe UI" w:hAnsi="Segoe UI" w:cs="Segoe UI"/>
          <w:color w:val="1F3864" w:themeColor="accent1" w:themeShade="80"/>
          <w:kern w:val="24"/>
          <w:sz w:val="20"/>
        </w:rPr>
      </w:pPr>
    </w:p>
    <w:tbl>
      <w:tblPr>
        <w:tblW w:w="9040" w:type="dxa"/>
        <w:tblCellMar>
          <w:left w:w="70" w:type="dxa"/>
          <w:right w:w="70" w:type="dxa"/>
        </w:tblCellMar>
        <w:tblLook w:val="04A0" w:firstRow="1" w:lastRow="0" w:firstColumn="1" w:lastColumn="0" w:noHBand="0" w:noVBand="1"/>
      </w:tblPr>
      <w:tblGrid>
        <w:gridCol w:w="2460"/>
        <w:gridCol w:w="748"/>
        <w:gridCol w:w="719"/>
        <w:gridCol w:w="1557"/>
        <w:gridCol w:w="1043"/>
        <w:gridCol w:w="1167"/>
        <w:gridCol w:w="1346"/>
      </w:tblGrid>
      <w:tr w:rsidR="00CC015D" w:rsidRPr="00CC015D" w14:paraId="3748084C" w14:textId="77777777" w:rsidTr="00CC015D">
        <w:trPr>
          <w:trHeight w:val="288"/>
        </w:trPr>
        <w:tc>
          <w:tcPr>
            <w:tcW w:w="2460" w:type="dxa"/>
            <w:vMerge w:val="restart"/>
            <w:tcBorders>
              <w:top w:val="nil"/>
              <w:left w:val="nil"/>
              <w:bottom w:val="nil"/>
              <w:right w:val="nil"/>
            </w:tcBorders>
            <w:shd w:val="clear" w:color="000000" w:fill="2F75B5"/>
            <w:vAlign w:val="center"/>
            <w:hideMark/>
          </w:tcPr>
          <w:p w14:paraId="137FFBED" w14:textId="77777777" w:rsidR="00CC015D" w:rsidRPr="00CC015D" w:rsidRDefault="00CC015D" w:rsidP="00CC015D">
            <w:pPr>
              <w:spacing w:after="0" w:line="240" w:lineRule="auto"/>
              <w:jc w:val="center"/>
              <w:rPr>
                <w:rFonts w:ascii="Calibri" w:eastAsia="Times New Roman" w:hAnsi="Calibri" w:cs="Calibri"/>
                <w:b/>
                <w:bCs/>
                <w:color w:val="FFFFFF"/>
                <w:sz w:val="20"/>
                <w:szCs w:val="20"/>
                <w:lang w:eastAsia="pt-BR"/>
              </w:rPr>
            </w:pPr>
            <w:r w:rsidRPr="00CC015D">
              <w:rPr>
                <w:rFonts w:ascii="Calibri" w:eastAsia="Times New Roman" w:hAnsi="Calibri" w:cs="Calibri"/>
                <w:b/>
                <w:bCs/>
                <w:color w:val="FFFFFF"/>
                <w:sz w:val="20"/>
                <w:szCs w:val="20"/>
                <w:lang w:eastAsia="pt-BR"/>
              </w:rPr>
              <w:t>Nível</w:t>
            </w:r>
          </w:p>
        </w:tc>
        <w:tc>
          <w:tcPr>
            <w:tcW w:w="6580" w:type="dxa"/>
            <w:gridSpan w:val="6"/>
            <w:tcBorders>
              <w:top w:val="nil"/>
              <w:left w:val="nil"/>
              <w:bottom w:val="nil"/>
              <w:right w:val="nil"/>
            </w:tcBorders>
            <w:shd w:val="clear" w:color="000000" w:fill="2F75B5"/>
            <w:noWrap/>
            <w:vAlign w:val="center"/>
            <w:hideMark/>
          </w:tcPr>
          <w:p w14:paraId="2FF07868" w14:textId="77777777" w:rsidR="00CC015D" w:rsidRPr="00CC015D" w:rsidRDefault="00CC015D" w:rsidP="00CC015D">
            <w:pPr>
              <w:spacing w:after="0" w:line="240" w:lineRule="auto"/>
              <w:jc w:val="center"/>
              <w:rPr>
                <w:rFonts w:ascii="Calibri" w:eastAsia="Times New Roman" w:hAnsi="Calibri" w:cs="Calibri"/>
                <w:b/>
                <w:bCs/>
                <w:color w:val="FFFFFF"/>
                <w:sz w:val="20"/>
                <w:szCs w:val="20"/>
                <w:lang w:eastAsia="pt-BR"/>
              </w:rPr>
            </w:pPr>
            <w:r w:rsidRPr="00CC015D">
              <w:rPr>
                <w:rFonts w:ascii="Calibri" w:eastAsia="Times New Roman" w:hAnsi="Calibri" w:cs="Calibri"/>
                <w:b/>
                <w:bCs/>
                <w:color w:val="FFFFFF"/>
                <w:sz w:val="20"/>
                <w:szCs w:val="20"/>
                <w:lang w:eastAsia="pt-BR"/>
              </w:rPr>
              <w:t>Peso Indicadores</w:t>
            </w:r>
          </w:p>
        </w:tc>
      </w:tr>
      <w:tr w:rsidR="00CC015D" w:rsidRPr="00CC015D" w14:paraId="3B50CB9A" w14:textId="77777777" w:rsidTr="00CC015D">
        <w:trPr>
          <w:trHeight w:val="288"/>
        </w:trPr>
        <w:tc>
          <w:tcPr>
            <w:tcW w:w="2460" w:type="dxa"/>
            <w:vMerge/>
            <w:tcBorders>
              <w:top w:val="nil"/>
              <w:left w:val="nil"/>
              <w:bottom w:val="nil"/>
              <w:right w:val="nil"/>
            </w:tcBorders>
            <w:vAlign w:val="center"/>
            <w:hideMark/>
          </w:tcPr>
          <w:p w14:paraId="61730F45" w14:textId="77777777" w:rsidR="00CC015D" w:rsidRPr="00CC015D" w:rsidRDefault="00CC015D" w:rsidP="00CC015D">
            <w:pPr>
              <w:spacing w:after="0" w:line="240" w:lineRule="auto"/>
              <w:rPr>
                <w:rFonts w:ascii="Calibri" w:eastAsia="Times New Roman" w:hAnsi="Calibri" w:cs="Calibri"/>
                <w:b/>
                <w:bCs/>
                <w:color w:val="FFFFFF"/>
                <w:sz w:val="20"/>
                <w:szCs w:val="20"/>
                <w:lang w:eastAsia="pt-BR"/>
              </w:rPr>
            </w:pPr>
          </w:p>
        </w:tc>
        <w:tc>
          <w:tcPr>
            <w:tcW w:w="748" w:type="dxa"/>
            <w:tcBorders>
              <w:top w:val="nil"/>
              <w:left w:val="nil"/>
              <w:bottom w:val="nil"/>
              <w:right w:val="nil"/>
            </w:tcBorders>
            <w:shd w:val="clear" w:color="000000" w:fill="2F75B5"/>
            <w:noWrap/>
            <w:vAlign w:val="center"/>
            <w:hideMark/>
          </w:tcPr>
          <w:p w14:paraId="161DA4BC" w14:textId="77777777" w:rsidR="00CC015D" w:rsidRPr="00CC015D" w:rsidRDefault="00CC015D" w:rsidP="00CC015D">
            <w:pPr>
              <w:spacing w:after="0" w:line="240" w:lineRule="auto"/>
              <w:jc w:val="center"/>
              <w:rPr>
                <w:rFonts w:ascii="Calibri" w:eastAsia="Times New Roman" w:hAnsi="Calibri" w:cs="Calibri"/>
                <w:b/>
                <w:bCs/>
                <w:color w:val="FFFFFF"/>
                <w:sz w:val="20"/>
                <w:szCs w:val="20"/>
                <w:lang w:eastAsia="pt-BR"/>
              </w:rPr>
            </w:pPr>
            <w:r w:rsidRPr="00CC015D">
              <w:rPr>
                <w:rFonts w:ascii="Calibri" w:eastAsia="Times New Roman" w:hAnsi="Calibri" w:cs="Calibri"/>
                <w:b/>
                <w:bCs/>
                <w:color w:val="FFFFFF"/>
                <w:sz w:val="20"/>
                <w:szCs w:val="20"/>
                <w:lang w:eastAsia="pt-BR"/>
              </w:rPr>
              <w:t>Banco¹</w:t>
            </w:r>
          </w:p>
        </w:tc>
        <w:tc>
          <w:tcPr>
            <w:tcW w:w="719" w:type="dxa"/>
            <w:tcBorders>
              <w:top w:val="nil"/>
              <w:left w:val="nil"/>
              <w:bottom w:val="nil"/>
              <w:right w:val="nil"/>
            </w:tcBorders>
            <w:shd w:val="clear" w:color="000000" w:fill="2F75B5"/>
            <w:noWrap/>
            <w:vAlign w:val="center"/>
            <w:hideMark/>
          </w:tcPr>
          <w:p w14:paraId="0A456B89" w14:textId="77777777" w:rsidR="00CC015D" w:rsidRPr="00CC015D" w:rsidRDefault="00CC015D" w:rsidP="00CC015D">
            <w:pPr>
              <w:spacing w:after="0" w:line="240" w:lineRule="auto"/>
              <w:jc w:val="center"/>
              <w:rPr>
                <w:rFonts w:ascii="Calibri" w:eastAsia="Times New Roman" w:hAnsi="Calibri" w:cs="Calibri"/>
                <w:b/>
                <w:bCs/>
                <w:color w:val="FFFFFF"/>
                <w:sz w:val="20"/>
                <w:szCs w:val="20"/>
                <w:lang w:eastAsia="pt-BR"/>
              </w:rPr>
            </w:pPr>
            <w:r w:rsidRPr="00CC015D">
              <w:rPr>
                <w:rFonts w:ascii="Calibri" w:eastAsia="Times New Roman" w:hAnsi="Calibri" w:cs="Calibri"/>
                <w:b/>
                <w:bCs/>
                <w:color w:val="FFFFFF"/>
                <w:sz w:val="20"/>
                <w:szCs w:val="20"/>
                <w:lang w:eastAsia="pt-BR"/>
              </w:rPr>
              <w:t>Sureg²</w:t>
            </w:r>
          </w:p>
        </w:tc>
        <w:tc>
          <w:tcPr>
            <w:tcW w:w="1557" w:type="dxa"/>
            <w:tcBorders>
              <w:top w:val="nil"/>
              <w:left w:val="nil"/>
              <w:bottom w:val="nil"/>
              <w:right w:val="nil"/>
            </w:tcBorders>
            <w:shd w:val="clear" w:color="000000" w:fill="2F75B5"/>
            <w:noWrap/>
            <w:vAlign w:val="center"/>
            <w:hideMark/>
          </w:tcPr>
          <w:p w14:paraId="243B12D4" w14:textId="77777777" w:rsidR="00CC015D" w:rsidRPr="00CC015D" w:rsidRDefault="00CC015D" w:rsidP="00CC015D">
            <w:pPr>
              <w:spacing w:after="0" w:line="240" w:lineRule="auto"/>
              <w:jc w:val="center"/>
              <w:rPr>
                <w:rFonts w:ascii="Calibri" w:eastAsia="Times New Roman" w:hAnsi="Calibri" w:cs="Calibri"/>
                <w:b/>
                <w:bCs/>
                <w:color w:val="FFFFFF"/>
                <w:sz w:val="20"/>
                <w:szCs w:val="20"/>
                <w:lang w:eastAsia="pt-BR"/>
              </w:rPr>
            </w:pPr>
            <w:r w:rsidRPr="00CC015D">
              <w:rPr>
                <w:rFonts w:ascii="Calibri" w:eastAsia="Times New Roman" w:hAnsi="Calibri" w:cs="Calibri"/>
                <w:b/>
                <w:bCs/>
                <w:color w:val="FFFFFF"/>
                <w:sz w:val="20"/>
                <w:szCs w:val="20"/>
                <w:lang w:eastAsia="pt-BR"/>
              </w:rPr>
              <w:t>Microrregião²</w:t>
            </w:r>
          </w:p>
        </w:tc>
        <w:tc>
          <w:tcPr>
            <w:tcW w:w="1043" w:type="dxa"/>
            <w:tcBorders>
              <w:top w:val="nil"/>
              <w:left w:val="nil"/>
              <w:bottom w:val="nil"/>
              <w:right w:val="nil"/>
            </w:tcBorders>
            <w:shd w:val="clear" w:color="000000" w:fill="2F75B5"/>
            <w:noWrap/>
            <w:vAlign w:val="center"/>
            <w:hideMark/>
          </w:tcPr>
          <w:p w14:paraId="094E215E" w14:textId="77777777" w:rsidR="00CC015D" w:rsidRPr="00CC015D" w:rsidRDefault="00CC015D" w:rsidP="00CC015D">
            <w:pPr>
              <w:spacing w:after="0" w:line="240" w:lineRule="auto"/>
              <w:jc w:val="center"/>
              <w:rPr>
                <w:rFonts w:ascii="Calibri" w:eastAsia="Times New Roman" w:hAnsi="Calibri" w:cs="Calibri"/>
                <w:b/>
                <w:bCs/>
                <w:color w:val="FFFFFF"/>
                <w:sz w:val="20"/>
                <w:szCs w:val="20"/>
                <w:lang w:eastAsia="pt-BR"/>
              </w:rPr>
            </w:pPr>
            <w:r w:rsidRPr="00CC015D">
              <w:rPr>
                <w:rFonts w:ascii="Calibri" w:eastAsia="Times New Roman" w:hAnsi="Calibri" w:cs="Calibri"/>
                <w:b/>
                <w:bCs/>
                <w:color w:val="FFFFFF"/>
                <w:sz w:val="20"/>
                <w:szCs w:val="20"/>
                <w:lang w:eastAsia="pt-BR"/>
              </w:rPr>
              <w:t>Agência</w:t>
            </w:r>
          </w:p>
        </w:tc>
        <w:tc>
          <w:tcPr>
            <w:tcW w:w="1167" w:type="dxa"/>
            <w:tcBorders>
              <w:top w:val="nil"/>
              <w:left w:val="nil"/>
              <w:bottom w:val="nil"/>
              <w:right w:val="nil"/>
            </w:tcBorders>
            <w:shd w:val="clear" w:color="000000" w:fill="2F75B5"/>
            <w:noWrap/>
            <w:vAlign w:val="center"/>
            <w:hideMark/>
          </w:tcPr>
          <w:p w14:paraId="1562B82A" w14:textId="77777777" w:rsidR="00CC015D" w:rsidRPr="00CC015D" w:rsidRDefault="00CC015D" w:rsidP="00CC015D">
            <w:pPr>
              <w:spacing w:after="0" w:line="240" w:lineRule="auto"/>
              <w:jc w:val="center"/>
              <w:rPr>
                <w:rFonts w:ascii="Calibri" w:eastAsia="Times New Roman" w:hAnsi="Calibri" w:cs="Calibri"/>
                <w:b/>
                <w:bCs/>
                <w:color w:val="FFFFFF"/>
                <w:sz w:val="20"/>
                <w:szCs w:val="20"/>
                <w:lang w:eastAsia="pt-BR"/>
              </w:rPr>
            </w:pPr>
            <w:r w:rsidRPr="00CC015D">
              <w:rPr>
                <w:rFonts w:ascii="Calibri" w:eastAsia="Times New Roman" w:hAnsi="Calibri" w:cs="Calibri"/>
                <w:b/>
                <w:bCs/>
                <w:color w:val="FFFFFF"/>
                <w:sz w:val="20"/>
                <w:szCs w:val="20"/>
                <w:lang w:eastAsia="pt-BR"/>
              </w:rPr>
              <w:t>Individual²</w:t>
            </w:r>
          </w:p>
        </w:tc>
        <w:tc>
          <w:tcPr>
            <w:tcW w:w="1346" w:type="dxa"/>
            <w:tcBorders>
              <w:top w:val="nil"/>
              <w:left w:val="nil"/>
              <w:bottom w:val="nil"/>
              <w:right w:val="nil"/>
            </w:tcBorders>
            <w:shd w:val="clear" w:color="000000" w:fill="2F75B5"/>
            <w:noWrap/>
            <w:vAlign w:val="center"/>
            <w:hideMark/>
          </w:tcPr>
          <w:p w14:paraId="073FF2C3" w14:textId="77777777" w:rsidR="00CC015D" w:rsidRPr="00CC015D" w:rsidRDefault="00CC015D" w:rsidP="00CC015D">
            <w:pPr>
              <w:spacing w:after="0" w:line="240" w:lineRule="auto"/>
              <w:jc w:val="center"/>
              <w:rPr>
                <w:rFonts w:ascii="Calibri" w:eastAsia="Times New Roman" w:hAnsi="Calibri" w:cs="Calibri"/>
                <w:b/>
                <w:bCs/>
                <w:color w:val="FFFFFF"/>
                <w:sz w:val="20"/>
                <w:szCs w:val="20"/>
                <w:lang w:eastAsia="pt-BR"/>
              </w:rPr>
            </w:pPr>
            <w:r w:rsidRPr="00CC015D">
              <w:rPr>
                <w:rFonts w:ascii="Calibri" w:eastAsia="Times New Roman" w:hAnsi="Calibri" w:cs="Calibri"/>
                <w:b/>
                <w:bCs/>
                <w:color w:val="FFFFFF"/>
                <w:sz w:val="20"/>
                <w:szCs w:val="20"/>
                <w:lang w:eastAsia="pt-BR"/>
              </w:rPr>
              <w:t>Plataforma²</w:t>
            </w:r>
          </w:p>
        </w:tc>
      </w:tr>
      <w:tr w:rsidR="00CC015D" w:rsidRPr="00CC015D" w14:paraId="2C9E3F84" w14:textId="77777777" w:rsidTr="00CC015D">
        <w:trPr>
          <w:trHeight w:val="288"/>
        </w:trPr>
        <w:tc>
          <w:tcPr>
            <w:tcW w:w="2460" w:type="dxa"/>
            <w:tcBorders>
              <w:top w:val="single" w:sz="4" w:space="0" w:color="F2F2F2"/>
              <w:left w:val="nil"/>
              <w:bottom w:val="single" w:sz="4" w:space="0" w:color="F2F2F2"/>
              <w:right w:val="single" w:sz="4" w:space="0" w:color="F2F2F2"/>
            </w:tcBorders>
            <w:shd w:val="clear" w:color="000000" w:fill="E7E6E6"/>
            <w:vAlign w:val="center"/>
            <w:hideMark/>
          </w:tcPr>
          <w:p w14:paraId="259FA598" w14:textId="77777777" w:rsidR="00CC015D" w:rsidRPr="00CC015D" w:rsidRDefault="00CC015D" w:rsidP="00CC015D">
            <w:pPr>
              <w:spacing w:after="0" w:line="240" w:lineRule="auto"/>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Supervisor</w:t>
            </w:r>
          </w:p>
        </w:tc>
        <w:tc>
          <w:tcPr>
            <w:tcW w:w="748" w:type="dxa"/>
            <w:tcBorders>
              <w:top w:val="single" w:sz="4" w:space="0" w:color="F2F2F2"/>
              <w:left w:val="nil"/>
              <w:bottom w:val="single" w:sz="4" w:space="0" w:color="F2F2F2"/>
              <w:right w:val="single" w:sz="4" w:space="0" w:color="F2F2F2"/>
            </w:tcBorders>
            <w:shd w:val="clear" w:color="000000" w:fill="E7E6E6"/>
            <w:noWrap/>
            <w:vAlign w:val="center"/>
            <w:hideMark/>
          </w:tcPr>
          <w:p w14:paraId="78A0791B" w14:textId="77777777" w:rsidR="00CC015D" w:rsidRPr="00CC015D" w:rsidRDefault="00CC015D" w:rsidP="00CC015D">
            <w:pPr>
              <w:spacing w:after="0" w:line="240" w:lineRule="auto"/>
              <w:jc w:val="center"/>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20%</w:t>
            </w:r>
          </w:p>
        </w:tc>
        <w:tc>
          <w:tcPr>
            <w:tcW w:w="719" w:type="dxa"/>
            <w:tcBorders>
              <w:top w:val="single" w:sz="4" w:space="0" w:color="F2F2F2"/>
              <w:left w:val="nil"/>
              <w:bottom w:val="single" w:sz="4" w:space="0" w:color="F2F2F2"/>
              <w:right w:val="nil"/>
            </w:tcBorders>
            <w:shd w:val="clear" w:color="000000" w:fill="E7E6E6"/>
            <w:noWrap/>
            <w:vAlign w:val="center"/>
            <w:hideMark/>
          </w:tcPr>
          <w:p w14:paraId="3F52E630" w14:textId="77777777" w:rsidR="00CC015D" w:rsidRPr="00CC015D" w:rsidRDefault="00CC015D" w:rsidP="00CC015D">
            <w:pPr>
              <w:spacing w:after="0" w:line="240" w:lineRule="auto"/>
              <w:jc w:val="center"/>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80%</w:t>
            </w:r>
          </w:p>
        </w:tc>
        <w:tc>
          <w:tcPr>
            <w:tcW w:w="1557" w:type="dxa"/>
            <w:tcBorders>
              <w:top w:val="single" w:sz="4" w:space="0" w:color="F2F2F2"/>
              <w:left w:val="nil"/>
              <w:bottom w:val="single" w:sz="4" w:space="0" w:color="F2F2F2"/>
              <w:right w:val="single" w:sz="4" w:space="0" w:color="F2F2F2"/>
            </w:tcBorders>
            <w:shd w:val="clear" w:color="000000" w:fill="E7E6E6"/>
            <w:vAlign w:val="center"/>
            <w:hideMark/>
          </w:tcPr>
          <w:p w14:paraId="6A559022" w14:textId="77777777" w:rsidR="00CC015D" w:rsidRPr="00CC015D" w:rsidRDefault="00CC015D" w:rsidP="00CC015D">
            <w:pPr>
              <w:spacing w:after="0" w:line="240" w:lineRule="auto"/>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w:t>
            </w:r>
          </w:p>
        </w:tc>
        <w:tc>
          <w:tcPr>
            <w:tcW w:w="1043" w:type="dxa"/>
            <w:tcBorders>
              <w:top w:val="single" w:sz="4" w:space="0" w:color="F2F2F2"/>
              <w:left w:val="nil"/>
              <w:bottom w:val="single" w:sz="4" w:space="0" w:color="F2F2F2"/>
              <w:right w:val="single" w:sz="4" w:space="0" w:color="F2F2F2"/>
            </w:tcBorders>
            <w:shd w:val="clear" w:color="000000" w:fill="E7E6E6"/>
            <w:noWrap/>
            <w:vAlign w:val="center"/>
            <w:hideMark/>
          </w:tcPr>
          <w:p w14:paraId="6F875A3D" w14:textId="77777777" w:rsidR="00CC015D" w:rsidRPr="00CC015D" w:rsidRDefault="00CC015D" w:rsidP="00CC015D">
            <w:pPr>
              <w:spacing w:after="0" w:line="240" w:lineRule="auto"/>
              <w:jc w:val="center"/>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w:t>
            </w:r>
          </w:p>
        </w:tc>
        <w:tc>
          <w:tcPr>
            <w:tcW w:w="1167" w:type="dxa"/>
            <w:tcBorders>
              <w:top w:val="single" w:sz="4" w:space="0" w:color="F2F2F2"/>
              <w:left w:val="nil"/>
              <w:bottom w:val="single" w:sz="4" w:space="0" w:color="F2F2F2"/>
              <w:right w:val="nil"/>
            </w:tcBorders>
            <w:shd w:val="clear" w:color="000000" w:fill="E7E6E6"/>
            <w:noWrap/>
            <w:vAlign w:val="center"/>
            <w:hideMark/>
          </w:tcPr>
          <w:p w14:paraId="369DD9F6" w14:textId="77777777" w:rsidR="00CC015D" w:rsidRPr="00CC015D" w:rsidRDefault="00CC015D" w:rsidP="00CC015D">
            <w:pPr>
              <w:spacing w:after="0" w:line="240" w:lineRule="auto"/>
              <w:jc w:val="center"/>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w:t>
            </w:r>
          </w:p>
        </w:tc>
        <w:tc>
          <w:tcPr>
            <w:tcW w:w="1346" w:type="dxa"/>
            <w:tcBorders>
              <w:top w:val="single" w:sz="4" w:space="0" w:color="F2F2F2"/>
              <w:left w:val="nil"/>
              <w:bottom w:val="single" w:sz="4" w:space="0" w:color="F2F2F2"/>
              <w:right w:val="single" w:sz="4" w:space="0" w:color="F2F2F2"/>
            </w:tcBorders>
            <w:shd w:val="clear" w:color="000000" w:fill="E7E6E6"/>
            <w:vAlign w:val="center"/>
            <w:hideMark/>
          </w:tcPr>
          <w:p w14:paraId="60BF7953" w14:textId="77777777" w:rsidR="00CC015D" w:rsidRPr="00CC015D" w:rsidRDefault="00CC015D" w:rsidP="00CC015D">
            <w:pPr>
              <w:spacing w:after="0" w:line="240" w:lineRule="auto"/>
              <w:jc w:val="center"/>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w:t>
            </w:r>
          </w:p>
        </w:tc>
      </w:tr>
      <w:tr w:rsidR="00CC015D" w:rsidRPr="00CC015D" w14:paraId="558EFAC0" w14:textId="77777777" w:rsidTr="00CC015D">
        <w:trPr>
          <w:trHeight w:val="288"/>
        </w:trPr>
        <w:tc>
          <w:tcPr>
            <w:tcW w:w="2460" w:type="dxa"/>
            <w:tcBorders>
              <w:top w:val="nil"/>
              <w:left w:val="nil"/>
              <w:bottom w:val="single" w:sz="4" w:space="0" w:color="F2F2F2"/>
              <w:right w:val="single" w:sz="4" w:space="0" w:color="F2F2F2"/>
            </w:tcBorders>
            <w:shd w:val="clear" w:color="000000" w:fill="FFFFFF"/>
            <w:vAlign w:val="center"/>
            <w:hideMark/>
          </w:tcPr>
          <w:p w14:paraId="4DF7870A" w14:textId="77777777" w:rsidR="00CC015D" w:rsidRPr="00CC015D" w:rsidRDefault="00CC015D" w:rsidP="00CC015D">
            <w:pPr>
              <w:spacing w:after="0" w:line="240" w:lineRule="auto"/>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Escriturário</w:t>
            </w:r>
          </w:p>
        </w:tc>
        <w:tc>
          <w:tcPr>
            <w:tcW w:w="748" w:type="dxa"/>
            <w:tcBorders>
              <w:top w:val="nil"/>
              <w:left w:val="nil"/>
              <w:bottom w:val="single" w:sz="4" w:space="0" w:color="F2F2F2"/>
              <w:right w:val="single" w:sz="4" w:space="0" w:color="F2F2F2"/>
            </w:tcBorders>
            <w:shd w:val="clear" w:color="000000" w:fill="FFFFFF"/>
            <w:noWrap/>
            <w:vAlign w:val="center"/>
            <w:hideMark/>
          </w:tcPr>
          <w:p w14:paraId="2C046D8A" w14:textId="77777777" w:rsidR="00CC015D" w:rsidRPr="00CC015D" w:rsidRDefault="00CC015D" w:rsidP="00CC015D">
            <w:pPr>
              <w:spacing w:after="0" w:line="240" w:lineRule="auto"/>
              <w:jc w:val="center"/>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20%</w:t>
            </w:r>
          </w:p>
        </w:tc>
        <w:tc>
          <w:tcPr>
            <w:tcW w:w="719" w:type="dxa"/>
            <w:tcBorders>
              <w:top w:val="nil"/>
              <w:left w:val="nil"/>
              <w:bottom w:val="single" w:sz="4" w:space="0" w:color="F2F2F2"/>
              <w:right w:val="single" w:sz="4" w:space="0" w:color="F2F2F2"/>
            </w:tcBorders>
            <w:shd w:val="clear" w:color="000000" w:fill="FFFFFF"/>
            <w:noWrap/>
            <w:vAlign w:val="center"/>
            <w:hideMark/>
          </w:tcPr>
          <w:p w14:paraId="40EB17FB" w14:textId="77777777" w:rsidR="00CC015D" w:rsidRPr="00CC015D" w:rsidRDefault="00CC015D" w:rsidP="00CC015D">
            <w:pPr>
              <w:spacing w:after="0" w:line="240" w:lineRule="auto"/>
              <w:jc w:val="center"/>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80%</w:t>
            </w:r>
          </w:p>
        </w:tc>
        <w:tc>
          <w:tcPr>
            <w:tcW w:w="1557" w:type="dxa"/>
            <w:tcBorders>
              <w:top w:val="nil"/>
              <w:left w:val="nil"/>
              <w:bottom w:val="single" w:sz="4" w:space="0" w:color="F2F2F2"/>
              <w:right w:val="single" w:sz="4" w:space="0" w:color="F2F2F2"/>
            </w:tcBorders>
            <w:shd w:val="clear" w:color="000000" w:fill="FFFFFF"/>
            <w:noWrap/>
            <w:vAlign w:val="center"/>
            <w:hideMark/>
          </w:tcPr>
          <w:p w14:paraId="1603D1A7" w14:textId="77777777" w:rsidR="00CC015D" w:rsidRPr="00CC015D" w:rsidRDefault="00CC015D" w:rsidP="00CC015D">
            <w:pPr>
              <w:spacing w:after="0" w:line="240" w:lineRule="auto"/>
              <w:jc w:val="center"/>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w:t>
            </w:r>
          </w:p>
        </w:tc>
        <w:tc>
          <w:tcPr>
            <w:tcW w:w="1043" w:type="dxa"/>
            <w:tcBorders>
              <w:top w:val="nil"/>
              <w:left w:val="nil"/>
              <w:bottom w:val="single" w:sz="4" w:space="0" w:color="F2F2F2"/>
              <w:right w:val="single" w:sz="4" w:space="0" w:color="F2F2F2"/>
            </w:tcBorders>
            <w:shd w:val="clear" w:color="000000" w:fill="FFFFFF"/>
            <w:vAlign w:val="center"/>
            <w:hideMark/>
          </w:tcPr>
          <w:p w14:paraId="2B8EA280" w14:textId="77777777" w:rsidR="00CC015D" w:rsidRPr="00CC015D" w:rsidRDefault="00CC015D" w:rsidP="00CC015D">
            <w:pPr>
              <w:spacing w:after="0" w:line="240" w:lineRule="auto"/>
              <w:jc w:val="center"/>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w:t>
            </w:r>
          </w:p>
        </w:tc>
        <w:tc>
          <w:tcPr>
            <w:tcW w:w="1167" w:type="dxa"/>
            <w:tcBorders>
              <w:top w:val="nil"/>
              <w:left w:val="nil"/>
              <w:bottom w:val="single" w:sz="4" w:space="0" w:color="F2F2F2"/>
              <w:right w:val="single" w:sz="4" w:space="0" w:color="F2F2F2"/>
            </w:tcBorders>
            <w:shd w:val="clear" w:color="000000" w:fill="FFFFFF"/>
            <w:noWrap/>
            <w:vAlign w:val="center"/>
            <w:hideMark/>
          </w:tcPr>
          <w:p w14:paraId="19FCD022" w14:textId="77777777" w:rsidR="00CC015D" w:rsidRPr="00CC015D" w:rsidRDefault="00CC015D" w:rsidP="00CC015D">
            <w:pPr>
              <w:spacing w:after="0" w:line="240" w:lineRule="auto"/>
              <w:jc w:val="center"/>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w:t>
            </w:r>
          </w:p>
        </w:tc>
        <w:tc>
          <w:tcPr>
            <w:tcW w:w="1346" w:type="dxa"/>
            <w:tcBorders>
              <w:top w:val="nil"/>
              <w:left w:val="nil"/>
              <w:bottom w:val="single" w:sz="4" w:space="0" w:color="F2F2F2"/>
              <w:right w:val="nil"/>
            </w:tcBorders>
            <w:shd w:val="clear" w:color="000000" w:fill="FFFFFF"/>
            <w:noWrap/>
            <w:vAlign w:val="center"/>
            <w:hideMark/>
          </w:tcPr>
          <w:p w14:paraId="12C974B5" w14:textId="77777777" w:rsidR="00CC015D" w:rsidRPr="00CC015D" w:rsidRDefault="00CC015D" w:rsidP="00CC015D">
            <w:pPr>
              <w:spacing w:after="0" w:line="240" w:lineRule="auto"/>
              <w:jc w:val="center"/>
              <w:rPr>
                <w:rFonts w:ascii="Calibri" w:eastAsia="Times New Roman" w:hAnsi="Calibri" w:cs="Calibri"/>
                <w:color w:val="000000"/>
                <w:sz w:val="20"/>
                <w:szCs w:val="20"/>
                <w:lang w:eastAsia="pt-BR"/>
              </w:rPr>
            </w:pPr>
            <w:r w:rsidRPr="00CC015D">
              <w:rPr>
                <w:rFonts w:ascii="Calibri" w:eastAsia="Times New Roman" w:hAnsi="Calibri" w:cs="Calibri"/>
                <w:color w:val="000000"/>
                <w:sz w:val="20"/>
                <w:szCs w:val="20"/>
                <w:lang w:eastAsia="pt-BR"/>
              </w:rPr>
              <w:t>-</w:t>
            </w:r>
          </w:p>
        </w:tc>
      </w:tr>
      <w:tr w:rsidR="00CC015D" w:rsidRPr="00CC015D" w14:paraId="6A8DAA0F" w14:textId="77777777" w:rsidTr="00CC015D">
        <w:trPr>
          <w:trHeight w:val="70"/>
        </w:trPr>
        <w:tc>
          <w:tcPr>
            <w:tcW w:w="9040" w:type="dxa"/>
            <w:gridSpan w:val="7"/>
            <w:tcBorders>
              <w:top w:val="nil"/>
              <w:left w:val="nil"/>
              <w:bottom w:val="nil"/>
              <w:right w:val="nil"/>
            </w:tcBorders>
            <w:shd w:val="clear" w:color="auto" w:fill="auto"/>
            <w:vAlign w:val="center"/>
            <w:hideMark/>
          </w:tcPr>
          <w:p w14:paraId="69367E06" w14:textId="77777777" w:rsidR="00CC015D" w:rsidRPr="00CC015D" w:rsidRDefault="00CC015D" w:rsidP="00CC015D">
            <w:pPr>
              <w:spacing w:after="0" w:line="240" w:lineRule="auto"/>
              <w:rPr>
                <w:rFonts w:ascii="Calibri" w:eastAsia="Times New Roman" w:hAnsi="Calibri" w:cs="Calibri"/>
                <w:color w:val="000000"/>
                <w:sz w:val="16"/>
                <w:szCs w:val="16"/>
                <w:lang w:eastAsia="pt-BR"/>
              </w:rPr>
            </w:pPr>
            <w:r w:rsidRPr="00CC015D">
              <w:rPr>
                <w:rFonts w:ascii="Calibri" w:eastAsia="Times New Roman" w:hAnsi="Calibri" w:cs="Calibri"/>
                <w:color w:val="000000"/>
                <w:sz w:val="16"/>
                <w:szCs w:val="16"/>
                <w:lang w:eastAsia="pt-BR"/>
              </w:rPr>
              <w:t>¹ A esfera Banco corresponde aos Indicadores de Performance do Banrisul.</w:t>
            </w:r>
          </w:p>
        </w:tc>
      </w:tr>
      <w:tr w:rsidR="00CC015D" w:rsidRPr="00CC015D" w14:paraId="43EC6D35" w14:textId="77777777" w:rsidTr="00CC015D">
        <w:trPr>
          <w:trHeight w:val="288"/>
        </w:trPr>
        <w:tc>
          <w:tcPr>
            <w:tcW w:w="9040" w:type="dxa"/>
            <w:gridSpan w:val="7"/>
            <w:tcBorders>
              <w:top w:val="nil"/>
              <w:left w:val="nil"/>
              <w:bottom w:val="nil"/>
              <w:right w:val="nil"/>
            </w:tcBorders>
            <w:shd w:val="clear" w:color="auto" w:fill="auto"/>
            <w:vAlign w:val="center"/>
            <w:hideMark/>
          </w:tcPr>
          <w:p w14:paraId="451483CF" w14:textId="77777777" w:rsidR="00CC015D" w:rsidRDefault="00CC015D" w:rsidP="00CC015D">
            <w:pPr>
              <w:spacing w:after="0" w:line="240" w:lineRule="auto"/>
              <w:rPr>
                <w:rFonts w:ascii="Calibri" w:eastAsia="Times New Roman" w:hAnsi="Calibri" w:cs="Calibri"/>
                <w:color w:val="000000"/>
                <w:sz w:val="16"/>
                <w:szCs w:val="16"/>
                <w:lang w:eastAsia="pt-BR"/>
              </w:rPr>
            </w:pPr>
            <w:proofErr w:type="gramStart"/>
            <w:r w:rsidRPr="00CC015D">
              <w:rPr>
                <w:rFonts w:ascii="Calibri" w:eastAsia="Times New Roman" w:hAnsi="Calibri" w:cs="Calibri"/>
                <w:color w:val="000000"/>
                <w:sz w:val="16"/>
                <w:szCs w:val="16"/>
                <w:lang w:eastAsia="pt-BR"/>
              </w:rPr>
              <w:t>² Os</w:t>
            </w:r>
            <w:proofErr w:type="gramEnd"/>
            <w:r w:rsidRPr="00CC015D">
              <w:rPr>
                <w:rFonts w:ascii="Calibri" w:eastAsia="Times New Roman" w:hAnsi="Calibri" w:cs="Calibri"/>
                <w:color w:val="000000"/>
                <w:sz w:val="16"/>
                <w:szCs w:val="16"/>
                <w:lang w:eastAsia="pt-BR"/>
              </w:rPr>
              <w:t xml:space="preserve"> indicadores dessas esferas correspondem ao Modelo de Desempenho Comercial.</w:t>
            </w:r>
          </w:p>
          <w:p w14:paraId="665E5B03" w14:textId="77777777" w:rsidR="007A00E2" w:rsidRDefault="007A00E2" w:rsidP="00CC015D">
            <w:pPr>
              <w:spacing w:after="0" w:line="240" w:lineRule="auto"/>
              <w:rPr>
                <w:rFonts w:ascii="Calibri" w:eastAsia="Times New Roman" w:hAnsi="Calibri" w:cs="Calibri"/>
                <w:color w:val="000000"/>
                <w:sz w:val="16"/>
                <w:szCs w:val="16"/>
                <w:lang w:eastAsia="pt-BR"/>
              </w:rPr>
            </w:pPr>
          </w:p>
          <w:p w14:paraId="57C1E148" w14:textId="77777777" w:rsidR="00A55D20" w:rsidRPr="00CC015D" w:rsidRDefault="00A55D20" w:rsidP="00CC015D">
            <w:pPr>
              <w:spacing w:after="0" w:line="240" w:lineRule="auto"/>
              <w:rPr>
                <w:rFonts w:ascii="Calibri" w:eastAsia="Times New Roman" w:hAnsi="Calibri" w:cs="Calibri"/>
                <w:color w:val="000000"/>
                <w:sz w:val="16"/>
                <w:szCs w:val="16"/>
                <w:lang w:eastAsia="pt-BR"/>
              </w:rPr>
            </w:pPr>
          </w:p>
        </w:tc>
      </w:tr>
    </w:tbl>
    <w:p w14:paraId="123E5F0D" w14:textId="03BBAA21" w:rsidR="00A55D20" w:rsidRPr="007A00E2" w:rsidRDefault="00A55D20" w:rsidP="00A55D20">
      <w:pPr>
        <w:jc w:val="both"/>
        <w:rPr>
          <w:rFonts w:ascii="Segoe UI" w:hAnsi="Segoe UI" w:cs="Segoe UI"/>
          <w:sz w:val="20"/>
          <w:szCs w:val="20"/>
        </w:rPr>
      </w:pPr>
      <w:bookmarkStart w:id="4" w:name="_Hlk183607384"/>
      <w:r w:rsidRPr="007A00E2">
        <w:rPr>
          <w:rFonts w:ascii="Segoe UI" w:hAnsi="Segoe UI" w:cs="Segoe UI"/>
          <w:sz w:val="20"/>
          <w:szCs w:val="20"/>
        </w:rPr>
        <w:t xml:space="preserve">PESO EXCLUSIVAMENTE PARA 2025 – UNIDADE DE CONTROLES, COMPLIANCE E INSPETORIA; UNIDADE DE RISCOS CORPORATIVOS; UNIDADE DE PREVENÇÃO A ILÍCITOS FINANCEIROS E GOVERNANÇA EM PRIVACIDADE; E, AUDITORIA INTERNA </w:t>
      </w:r>
    </w:p>
    <w:p w14:paraId="655FBA2B" w14:textId="77777777" w:rsidR="001E64FD" w:rsidRDefault="001E64FD" w:rsidP="00A55D20">
      <w:pPr>
        <w:jc w:val="both"/>
        <w:rPr>
          <w:rFonts w:ascii="Segoe UI" w:hAnsi="Segoe UI" w:cs="Segoe UI"/>
          <w:sz w:val="20"/>
          <w:szCs w:val="20"/>
        </w:rPr>
      </w:pPr>
    </w:p>
    <w:p w14:paraId="7DD13602" w14:textId="6F172127" w:rsidR="00A55D20" w:rsidRPr="00651B5E" w:rsidRDefault="00A55D20" w:rsidP="00A55D20">
      <w:pPr>
        <w:jc w:val="both"/>
        <w:rPr>
          <w:rFonts w:ascii="Segoe UI" w:hAnsi="Segoe UI" w:cs="Segoe UI"/>
          <w:color w:val="FF0000"/>
          <w:sz w:val="20"/>
          <w:szCs w:val="20"/>
        </w:rPr>
      </w:pPr>
      <w:r w:rsidRPr="007A00E2">
        <w:rPr>
          <w:rFonts w:ascii="Segoe UI" w:hAnsi="Segoe UI" w:cs="Segoe UI"/>
          <w:sz w:val="20"/>
          <w:szCs w:val="20"/>
        </w:rPr>
        <w:t>Considerando o exposto no art. 4º da Resolução nº 5.177 do Conselho Monetário Nacional</w:t>
      </w:r>
      <w:r w:rsidRPr="007A00E2">
        <w:rPr>
          <w:rStyle w:val="Refdenotaderodap"/>
          <w:rFonts w:ascii="Segoe UI" w:hAnsi="Segoe UI" w:cs="Segoe UI"/>
          <w:sz w:val="20"/>
          <w:szCs w:val="20"/>
        </w:rPr>
        <w:footnoteReference w:id="1"/>
      </w:r>
      <w:r w:rsidRPr="007A00E2">
        <w:rPr>
          <w:rFonts w:ascii="Segoe UI" w:hAnsi="Segoe UI" w:cs="Segoe UI"/>
          <w:sz w:val="20"/>
          <w:szCs w:val="20"/>
        </w:rPr>
        <w:t>, a partir de 1º de janeiro de 2025, as áreas abrangidas no referido dispositivo (Unidade de Controles, Compliance e Inspetoria, Unidade de Riscos Corporativos, Unidade de Prevenção a Ilícitos Financeiros e Governança em Privacidade e a Auditoria Interna) terão tratamento específico na composição de suas metas conforme tabela a seguir:</w:t>
      </w:r>
    </w:p>
    <w:tbl>
      <w:tblPr>
        <w:tblW w:w="3841" w:type="dxa"/>
        <w:tblCellMar>
          <w:left w:w="70" w:type="dxa"/>
          <w:right w:w="70" w:type="dxa"/>
        </w:tblCellMar>
        <w:tblLook w:val="04A0" w:firstRow="1" w:lastRow="0" w:firstColumn="1" w:lastColumn="0" w:noHBand="0" w:noVBand="1"/>
      </w:tblPr>
      <w:tblGrid>
        <w:gridCol w:w="2460"/>
        <w:gridCol w:w="1381"/>
      </w:tblGrid>
      <w:tr w:rsidR="00A55D20" w:rsidRPr="00651B5E" w14:paraId="40785424" w14:textId="77777777" w:rsidTr="002E1BCD">
        <w:trPr>
          <w:trHeight w:val="288"/>
        </w:trPr>
        <w:tc>
          <w:tcPr>
            <w:tcW w:w="2460" w:type="dxa"/>
            <w:vMerge w:val="restart"/>
            <w:tcBorders>
              <w:top w:val="nil"/>
              <w:left w:val="nil"/>
              <w:bottom w:val="single" w:sz="4" w:space="0" w:color="F2F2F2"/>
              <w:right w:val="single" w:sz="4" w:space="0" w:color="F2F2F2"/>
            </w:tcBorders>
            <w:shd w:val="clear" w:color="000000" w:fill="2F75B5"/>
            <w:vAlign w:val="center"/>
            <w:hideMark/>
          </w:tcPr>
          <w:p w14:paraId="5E11E515" w14:textId="77777777" w:rsidR="00A55D20" w:rsidRPr="00B81457" w:rsidRDefault="00A55D20" w:rsidP="002E1BCD">
            <w:pPr>
              <w:spacing w:after="0" w:line="240" w:lineRule="auto"/>
              <w:jc w:val="center"/>
              <w:rPr>
                <w:rFonts w:ascii="Calibri" w:hAnsi="Calibri"/>
                <w:b/>
                <w:color w:val="FFFF00"/>
                <w:sz w:val="20"/>
              </w:rPr>
            </w:pPr>
            <w:r w:rsidRPr="00B81457">
              <w:rPr>
                <w:rFonts w:ascii="Calibri" w:hAnsi="Calibri"/>
                <w:b/>
                <w:color w:val="FFFF00"/>
                <w:sz w:val="20"/>
              </w:rPr>
              <w:t>Nível</w:t>
            </w:r>
          </w:p>
        </w:tc>
        <w:tc>
          <w:tcPr>
            <w:tcW w:w="1381" w:type="dxa"/>
            <w:tcBorders>
              <w:top w:val="nil"/>
              <w:left w:val="nil"/>
              <w:bottom w:val="single" w:sz="4" w:space="0" w:color="F2F2F2"/>
              <w:right w:val="single" w:sz="4" w:space="0" w:color="F2F2F2"/>
            </w:tcBorders>
            <w:shd w:val="clear" w:color="000000" w:fill="2F75B5"/>
            <w:noWrap/>
            <w:vAlign w:val="center"/>
            <w:hideMark/>
          </w:tcPr>
          <w:p w14:paraId="6F8E484B" w14:textId="77777777" w:rsidR="00A55D20" w:rsidRPr="00B81457" w:rsidRDefault="00A55D20" w:rsidP="002E1BCD">
            <w:pPr>
              <w:spacing w:after="0" w:line="240" w:lineRule="auto"/>
              <w:jc w:val="center"/>
              <w:rPr>
                <w:rFonts w:ascii="Calibri" w:eastAsia="Calibri" w:hAnsi="Calibri" w:cs="Calibri"/>
                <w:b/>
                <w:color w:val="FFFF00"/>
                <w:sz w:val="20"/>
                <w:lang w:eastAsia="pt-BR"/>
              </w:rPr>
            </w:pPr>
            <w:r w:rsidRPr="00B81457">
              <w:rPr>
                <w:rFonts w:ascii="Calibri" w:hAnsi="Calibri"/>
                <w:b/>
                <w:color w:val="FFFF00"/>
                <w:sz w:val="20"/>
              </w:rPr>
              <w:t>Peso Indicadores</w:t>
            </w:r>
          </w:p>
        </w:tc>
      </w:tr>
      <w:tr w:rsidR="00A55D20" w:rsidRPr="00651B5E" w14:paraId="2FB5B002" w14:textId="77777777" w:rsidTr="002E1BCD">
        <w:trPr>
          <w:trHeight w:val="288"/>
        </w:trPr>
        <w:tc>
          <w:tcPr>
            <w:tcW w:w="2460" w:type="dxa"/>
            <w:vMerge/>
            <w:tcBorders>
              <w:top w:val="nil"/>
              <w:left w:val="nil"/>
              <w:bottom w:val="single" w:sz="4" w:space="0" w:color="F2F2F2"/>
              <w:right w:val="single" w:sz="4" w:space="0" w:color="F2F2F2"/>
            </w:tcBorders>
            <w:vAlign w:val="center"/>
            <w:hideMark/>
          </w:tcPr>
          <w:p w14:paraId="6340BC52" w14:textId="77777777" w:rsidR="00A55D20" w:rsidRPr="00B81457" w:rsidRDefault="00A55D20" w:rsidP="002E1BCD">
            <w:pPr>
              <w:spacing w:after="0" w:line="240" w:lineRule="auto"/>
              <w:rPr>
                <w:rFonts w:ascii="Calibri" w:hAnsi="Calibri"/>
                <w:b/>
                <w:color w:val="FFFF00"/>
                <w:sz w:val="20"/>
              </w:rPr>
            </w:pPr>
          </w:p>
        </w:tc>
        <w:tc>
          <w:tcPr>
            <w:tcW w:w="1381" w:type="dxa"/>
            <w:tcBorders>
              <w:top w:val="nil"/>
              <w:left w:val="nil"/>
              <w:bottom w:val="single" w:sz="4" w:space="0" w:color="F2F2F2"/>
              <w:right w:val="nil"/>
            </w:tcBorders>
            <w:shd w:val="clear" w:color="000000" w:fill="2F75B5"/>
            <w:noWrap/>
            <w:vAlign w:val="center"/>
            <w:hideMark/>
          </w:tcPr>
          <w:p w14:paraId="45858E6C" w14:textId="77777777" w:rsidR="00A55D20" w:rsidRPr="00B81457" w:rsidRDefault="00A55D20" w:rsidP="002E1BCD">
            <w:pPr>
              <w:spacing w:after="0" w:line="240" w:lineRule="auto"/>
              <w:jc w:val="center"/>
              <w:rPr>
                <w:rFonts w:ascii="Calibri" w:eastAsia="Calibri" w:hAnsi="Calibri" w:cs="Calibri"/>
                <w:b/>
                <w:color w:val="FFFF00"/>
                <w:sz w:val="20"/>
                <w:lang w:eastAsia="pt-BR"/>
              </w:rPr>
            </w:pPr>
            <w:r w:rsidRPr="00B81457">
              <w:rPr>
                <w:rFonts w:ascii="Calibri" w:hAnsi="Calibri"/>
                <w:b/>
                <w:color w:val="FFFF00"/>
                <w:sz w:val="20"/>
              </w:rPr>
              <w:t>Unidade</w:t>
            </w:r>
          </w:p>
        </w:tc>
      </w:tr>
      <w:tr w:rsidR="00A55D20" w:rsidRPr="00651B5E" w14:paraId="1307FCCD" w14:textId="77777777" w:rsidTr="002E1BCD">
        <w:trPr>
          <w:trHeight w:val="288"/>
        </w:trPr>
        <w:tc>
          <w:tcPr>
            <w:tcW w:w="2460" w:type="dxa"/>
            <w:tcBorders>
              <w:top w:val="nil"/>
              <w:left w:val="nil"/>
              <w:bottom w:val="single" w:sz="4" w:space="0" w:color="F2F2F2"/>
              <w:right w:val="single" w:sz="4" w:space="0" w:color="F2F2F2"/>
            </w:tcBorders>
            <w:shd w:val="clear" w:color="000000" w:fill="E7E6E6"/>
            <w:vAlign w:val="center"/>
            <w:hideMark/>
          </w:tcPr>
          <w:p w14:paraId="682E1058" w14:textId="77777777" w:rsidR="00A55D20" w:rsidRPr="00B81457" w:rsidRDefault="00A55D20" w:rsidP="002E1BCD">
            <w:pPr>
              <w:spacing w:after="0" w:line="240" w:lineRule="auto"/>
              <w:rPr>
                <w:rFonts w:ascii="Calibri" w:hAnsi="Calibri"/>
                <w:sz w:val="20"/>
              </w:rPr>
            </w:pPr>
            <w:r w:rsidRPr="00B81457">
              <w:rPr>
                <w:rFonts w:ascii="Calibri" w:hAnsi="Calibri"/>
                <w:sz w:val="20"/>
              </w:rPr>
              <w:t>Superintendentes</w:t>
            </w:r>
          </w:p>
        </w:tc>
        <w:tc>
          <w:tcPr>
            <w:tcW w:w="1381" w:type="dxa"/>
            <w:tcBorders>
              <w:top w:val="nil"/>
              <w:left w:val="nil"/>
              <w:bottom w:val="single" w:sz="4" w:space="0" w:color="F2F2F2"/>
              <w:right w:val="nil"/>
            </w:tcBorders>
            <w:shd w:val="clear" w:color="000000" w:fill="E7E6E6"/>
            <w:noWrap/>
            <w:vAlign w:val="center"/>
            <w:hideMark/>
          </w:tcPr>
          <w:p w14:paraId="4A35F515" w14:textId="77777777" w:rsidR="00A55D20" w:rsidRPr="00B81457" w:rsidRDefault="00A55D20" w:rsidP="002E1BCD">
            <w:pPr>
              <w:spacing w:after="0" w:line="240" w:lineRule="auto"/>
              <w:jc w:val="center"/>
              <w:rPr>
                <w:rFonts w:ascii="Calibri" w:hAnsi="Calibri"/>
                <w:sz w:val="20"/>
              </w:rPr>
            </w:pPr>
            <w:r w:rsidRPr="00B81457">
              <w:rPr>
                <w:rFonts w:ascii="Calibri" w:eastAsia="Times New Roman" w:hAnsi="Calibri" w:cs="Calibri"/>
                <w:sz w:val="20"/>
                <w:szCs w:val="20"/>
                <w:lang w:eastAsia="pt-BR"/>
              </w:rPr>
              <w:t>100</w:t>
            </w:r>
            <w:r w:rsidRPr="00B81457">
              <w:rPr>
                <w:rFonts w:ascii="Calibri" w:hAnsi="Calibri"/>
                <w:sz w:val="20"/>
              </w:rPr>
              <w:t>%</w:t>
            </w:r>
          </w:p>
        </w:tc>
      </w:tr>
      <w:tr w:rsidR="00A55D20" w:rsidRPr="00651B5E" w14:paraId="56FFA402" w14:textId="77777777" w:rsidTr="002E1BCD">
        <w:trPr>
          <w:trHeight w:val="288"/>
        </w:trPr>
        <w:tc>
          <w:tcPr>
            <w:tcW w:w="2460" w:type="dxa"/>
            <w:tcBorders>
              <w:top w:val="nil"/>
              <w:left w:val="nil"/>
              <w:bottom w:val="single" w:sz="4" w:space="0" w:color="F2F2F2"/>
              <w:right w:val="single" w:sz="4" w:space="0" w:color="F2F2F2"/>
            </w:tcBorders>
            <w:shd w:val="clear" w:color="000000" w:fill="FFFFFF"/>
            <w:vAlign w:val="center"/>
            <w:hideMark/>
          </w:tcPr>
          <w:p w14:paraId="3479F39B" w14:textId="77777777" w:rsidR="00A55D20" w:rsidRPr="00B81457" w:rsidRDefault="00A55D20" w:rsidP="002E1BCD">
            <w:pPr>
              <w:spacing w:after="0" w:line="240" w:lineRule="auto"/>
              <w:rPr>
                <w:rFonts w:ascii="Calibri" w:hAnsi="Calibri"/>
                <w:sz w:val="20"/>
              </w:rPr>
            </w:pPr>
            <w:r w:rsidRPr="00B81457">
              <w:rPr>
                <w:rFonts w:ascii="Calibri" w:hAnsi="Calibri"/>
                <w:sz w:val="20"/>
              </w:rPr>
              <w:t>Gerentes</w:t>
            </w:r>
          </w:p>
        </w:tc>
        <w:tc>
          <w:tcPr>
            <w:tcW w:w="1381" w:type="dxa"/>
            <w:tcBorders>
              <w:top w:val="nil"/>
              <w:left w:val="nil"/>
              <w:bottom w:val="single" w:sz="4" w:space="0" w:color="F2F2F2"/>
              <w:right w:val="nil"/>
            </w:tcBorders>
            <w:shd w:val="clear" w:color="000000" w:fill="FFFFFF"/>
            <w:noWrap/>
            <w:vAlign w:val="center"/>
            <w:hideMark/>
          </w:tcPr>
          <w:p w14:paraId="45833E73" w14:textId="77777777" w:rsidR="00A55D20" w:rsidRPr="00B81457" w:rsidRDefault="00A55D20" w:rsidP="002E1BCD">
            <w:pPr>
              <w:spacing w:after="0" w:line="240" w:lineRule="auto"/>
              <w:jc w:val="center"/>
              <w:rPr>
                <w:rFonts w:ascii="Calibri" w:hAnsi="Calibri"/>
                <w:sz w:val="20"/>
              </w:rPr>
            </w:pPr>
            <w:r w:rsidRPr="00B81457">
              <w:rPr>
                <w:rFonts w:ascii="Calibri" w:eastAsia="Times New Roman" w:hAnsi="Calibri" w:cs="Calibri"/>
                <w:sz w:val="20"/>
                <w:szCs w:val="20"/>
                <w:lang w:eastAsia="pt-BR"/>
              </w:rPr>
              <w:t>100</w:t>
            </w:r>
            <w:r w:rsidRPr="00B81457">
              <w:rPr>
                <w:rFonts w:ascii="Calibri" w:hAnsi="Calibri"/>
                <w:sz w:val="20"/>
              </w:rPr>
              <w:t>%</w:t>
            </w:r>
          </w:p>
        </w:tc>
      </w:tr>
      <w:tr w:rsidR="00A55D20" w:rsidRPr="00651B5E" w14:paraId="575BCC65" w14:textId="77777777" w:rsidTr="002E1BCD">
        <w:trPr>
          <w:trHeight w:val="288"/>
        </w:trPr>
        <w:tc>
          <w:tcPr>
            <w:tcW w:w="2460" w:type="dxa"/>
            <w:tcBorders>
              <w:top w:val="nil"/>
              <w:left w:val="nil"/>
              <w:bottom w:val="nil"/>
              <w:right w:val="single" w:sz="4" w:space="0" w:color="F2F2F2"/>
            </w:tcBorders>
            <w:shd w:val="clear" w:color="000000" w:fill="E7E6E6"/>
            <w:vAlign w:val="center"/>
            <w:hideMark/>
          </w:tcPr>
          <w:p w14:paraId="2843BF96" w14:textId="77777777" w:rsidR="00A55D20" w:rsidRPr="00B81457" w:rsidRDefault="00A55D20" w:rsidP="002E1BCD">
            <w:pPr>
              <w:spacing w:after="0" w:line="240" w:lineRule="auto"/>
              <w:rPr>
                <w:rFonts w:ascii="Calibri" w:hAnsi="Calibri"/>
                <w:sz w:val="20"/>
              </w:rPr>
            </w:pPr>
            <w:r w:rsidRPr="00B81457">
              <w:rPr>
                <w:rFonts w:ascii="Calibri" w:hAnsi="Calibri"/>
                <w:sz w:val="20"/>
              </w:rPr>
              <w:t>Demais Empregados</w:t>
            </w:r>
          </w:p>
        </w:tc>
        <w:tc>
          <w:tcPr>
            <w:tcW w:w="1381" w:type="dxa"/>
            <w:tcBorders>
              <w:top w:val="nil"/>
              <w:left w:val="nil"/>
              <w:bottom w:val="nil"/>
              <w:right w:val="nil"/>
            </w:tcBorders>
            <w:shd w:val="clear" w:color="000000" w:fill="E7E6E6"/>
            <w:noWrap/>
            <w:vAlign w:val="center"/>
            <w:hideMark/>
          </w:tcPr>
          <w:p w14:paraId="4A19B5AF" w14:textId="77777777" w:rsidR="00A55D20" w:rsidRPr="00B81457" w:rsidRDefault="00A55D20" w:rsidP="002E1BCD">
            <w:pPr>
              <w:spacing w:after="0" w:line="240" w:lineRule="auto"/>
              <w:jc w:val="center"/>
              <w:rPr>
                <w:rFonts w:ascii="Calibri" w:hAnsi="Calibri"/>
                <w:sz w:val="20"/>
              </w:rPr>
            </w:pPr>
            <w:r w:rsidRPr="00B81457">
              <w:rPr>
                <w:rFonts w:ascii="Calibri" w:eastAsia="Times New Roman" w:hAnsi="Calibri" w:cs="Calibri"/>
                <w:sz w:val="20"/>
                <w:szCs w:val="20"/>
                <w:lang w:eastAsia="pt-BR"/>
              </w:rPr>
              <w:t>100</w:t>
            </w:r>
            <w:r w:rsidRPr="00B81457">
              <w:rPr>
                <w:rFonts w:ascii="Calibri" w:hAnsi="Calibri"/>
                <w:sz w:val="20"/>
              </w:rPr>
              <w:t>%</w:t>
            </w:r>
          </w:p>
        </w:tc>
      </w:tr>
      <w:bookmarkEnd w:id="4"/>
    </w:tbl>
    <w:p w14:paraId="51C62A27" w14:textId="77777777" w:rsidR="000C3069" w:rsidRDefault="000C3069" w:rsidP="0010090F">
      <w:pPr>
        <w:pStyle w:val="Recuodecorpodetexto"/>
        <w:spacing w:before="200" w:after="200" w:line="360" w:lineRule="auto"/>
        <w:ind w:firstLine="0"/>
        <w:rPr>
          <w:rFonts w:ascii="Segoe UI" w:hAnsi="Segoe UI" w:cs="Segoe UI"/>
          <w:b/>
          <w:bCs/>
          <w:caps/>
          <w:color w:val="000000" w:themeColor="text1"/>
          <w:sz w:val="20"/>
          <w:szCs w:val="24"/>
        </w:rPr>
      </w:pPr>
    </w:p>
    <w:p w14:paraId="3CAF9DD6" w14:textId="2EA38230" w:rsidR="00AE449A" w:rsidRPr="00630ADD" w:rsidRDefault="00630ADD" w:rsidP="0010090F">
      <w:pPr>
        <w:pStyle w:val="Recuodecorpodetexto"/>
        <w:spacing w:before="200" w:after="200" w:line="360" w:lineRule="auto"/>
        <w:ind w:firstLine="0"/>
        <w:rPr>
          <w:rFonts w:ascii="Segoe UI" w:hAnsi="Segoe UI" w:cs="Segoe UI"/>
          <w:b/>
          <w:bCs/>
          <w:caps/>
          <w:color w:val="000000" w:themeColor="text1"/>
          <w:sz w:val="20"/>
          <w:szCs w:val="24"/>
        </w:rPr>
      </w:pPr>
      <w:r>
        <w:rPr>
          <w:rFonts w:ascii="Segoe UI" w:hAnsi="Segoe UI" w:cs="Segoe UI"/>
          <w:b/>
          <w:bCs/>
          <w:caps/>
          <w:color w:val="000000" w:themeColor="text1"/>
          <w:sz w:val="20"/>
          <w:szCs w:val="24"/>
        </w:rPr>
        <w:t xml:space="preserve">DO </w:t>
      </w:r>
      <w:r w:rsidR="00AE449A" w:rsidRPr="00630ADD">
        <w:rPr>
          <w:rFonts w:ascii="Segoe UI" w:hAnsi="Segoe UI" w:cs="Segoe UI"/>
          <w:b/>
          <w:bCs/>
          <w:caps/>
          <w:color w:val="000000" w:themeColor="text1"/>
          <w:sz w:val="20"/>
          <w:szCs w:val="24"/>
        </w:rPr>
        <w:t>Valor da Participação</w:t>
      </w:r>
    </w:p>
    <w:p w14:paraId="2135FD61" w14:textId="3E75D5D1" w:rsidR="00CB6D86" w:rsidRPr="0010090F" w:rsidRDefault="00CB6D86" w:rsidP="0010090F">
      <w:pPr>
        <w:pStyle w:val="Recuodecorpodetexto"/>
        <w:spacing w:before="200" w:after="200" w:line="360" w:lineRule="auto"/>
        <w:ind w:firstLine="0"/>
        <w:rPr>
          <w:rFonts w:ascii="Segoe UI" w:eastAsiaTheme="minorHAnsi" w:hAnsi="Segoe UI" w:cs="Segoe UI"/>
          <w:color w:val="000000" w:themeColor="text1"/>
          <w:sz w:val="20"/>
          <w:lang w:eastAsia="en-US"/>
        </w:rPr>
      </w:pPr>
      <w:r w:rsidRPr="00630ADD">
        <w:rPr>
          <w:rFonts w:ascii="Segoe UI" w:eastAsiaTheme="minorHAnsi" w:hAnsi="Segoe UI" w:cs="Segoe UI"/>
          <w:color w:val="000000" w:themeColor="text1"/>
          <w:sz w:val="20"/>
          <w:lang w:eastAsia="en-US"/>
        </w:rPr>
        <w:t xml:space="preserve">O cálculo do valor individual do PPR a ser distribuído, corresponde à multiplicação do Valor de Referência (Valor definido para cada Grupo de Funções), pelo Target (Multiplicador a partir do Atingimento da Meta) e pelo </w:t>
      </w:r>
      <w:r w:rsidR="00C114C7" w:rsidRPr="00630ADD">
        <w:rPr>
          <w:rFonts w:ascii="Segoe UI" w:eastAsiaTheme="minorHAnsi" w:hAnsi="Segoe UI" w:cs="Segoe UI"/>
          <w:color w:val="000000" w:themeColor="text1"/>
          <w:sz w:val="20"/>
          <w:lang w:eastAsia="en-US"/>
        </w:rPr>
        <w:t xml:space="preserve">Régua de </w:t>
      </w:r>
      <w:r w:rsidRPr="00630ADD">
        <w:rPr>
          <w:rFonts w:ascii="Segoe UI" w:eastAsiaTheme="minorHAnsi" w:hAnsi="Segoe UI" w:cs="Segoe UI"/>
          <w:color w:val="000000" w:themeColor="text1"/>
          <w:sz w:val="20"/>
          <w:lang w:eastAsia="en-US"/>
        </w:rPr>
        <w:t>Atingimento da Meta (Resultados Atingidos e Régua de Multiplicação do Atingimento)</w:t>
      </w:r>
      <w:r w:rsidR="00630ADD" w:rsidRPr="00630ADD">
        <w:rPr>
          <w:rFonts w:ascii="Segoe UI" w:eastAsiaTheme="minorHAnsi" w:hAnsi="Segoe UI" w:cs="Segoe UI"/>
          <w:color w:val="000000" w:themeColor="text1"/>
          <w:sz w:val="20"/>
          <w:lang w:eastAsia="en-US"/>
        </w:rPr>
        <w:t>:</w:t>
      </w:r>
    </w:p>
    <w:tbl>
      <w:tblPr>
        <w:tblW w:w="9180" w:type="dxa"/>
        <w:tblLook w:val="04A0" w:firstRow="1" w:lastRow="0" w:firstColumn="1" w:lastColumn="0" w:noHBand="0" w:noVBand="1"/>
      </w:tblPr>
      <w:tblGrid>
        <w:gridCol w:w="2406"/>
        <w:gridCol w:w="400"/>
        <w:gridCol w:w="2282"/>
        <w:gridCol w:w="406"/>
        <w:gridCol w:w="993"/>
        <w:gridCol w:w="425"/>
        <w:gridCol w:w="2268"/>
      </w:tblGrid>
      <w:tr w:rsidR="00AE449A" w:rsidRPr="008345BD" w14:paraId="0A26D4BA" w14:textId="77777777" w:rsidTr="005D6C85">
        <w:tc>
          <w:tcPr>
            <w:tcW w:w="2406" w:type="dxa"/>
            <w:shd w:val="clear" w:color="auto" w:fill="auto"/>
          </w:tcPr>
          <w:p w14:paraId="13198136" w14:textId="77777777" w:rsidR="00AE449A" w:rsidRPr="00630ADD" w:rsidRDefault="00AE449A" w:rsidP="005D6C85">
            <w:pPr>
              <w:pStyle w:val="Recuodecorpodetexto"/>
              <w:overflowPunct w:val="0"/>
              <w:autoSpaceDE w:val="0"/>
              <w:autoSpaceDN w:val="0"/>
              <w:adjustRightInd w:val="0"/>
              <w:spacing w:line="360" w:lineRule="auto"/>
              <w:ind w:firstLine="0"/>
              <w:textAlignment w:val="baseline"/>
              <w:rPr>
                <w:rFonts w:ascii="Segoe UI" w:hAnsi="Segoe UI" w:cs="Segoe UI"/>
                <w:b/>
                <w:bCs/>
                <w:color w:val="000000" w:themeColor="text1"/>
                <w:sz w:val="20"/>
              </w:rPr>
            </w:pPr>
            <w:r w:rsidRPr="00630ADD">
              <w:rPr>
                <w:rFonts w:ascii="Segoe UI" w:hAnsi="Segoe UI" w:cs="Segoe UI"/>
                <w:b/>
                <w:bCs/>
                <w:color w:val="000000" w:themeColor="text1"/>
                <w:sz w:val="20"/>
              </w:rPr>
              <w:t>Valor da Participação</w:t>
            </w:r>
          </w:p>
        </w:tc>
        <w:tc>
          <w:tcPr>
            <w:tcW w:w="400" w:type="dxa"/>
            <w:shd w:val="clear" w:color="auto" w:fill="auto"/>
          </w:tcPr>
          <w:p w14:paraId="547EB8A7" w14:textId="77777777" w:rsidR="00AE449A" w:rsidRPr="008345BD" w:rsidRDefault="00AE449A" w:rsidP="005D6C85">
            <w:pPr>
              <w:pStyle w:val="Recuodecorpodetexto"/>
              <w:overflowPunct w:val="0"/>
              <w:autoSpaceDE w:val="0"/>
              <w:autoSpaceDN w:val="0"/>
              <w:adjustRightInd w:val="0"/>
              <w:spacing w:line="360" w:lineRule="auto"/>
              <w:ind w:firstLine="0"/>
              <w:textAlignment w:val="baseline"/>
              <w:rPr>
                <w:rFonts w:ascii="Segoe UI" w:hAnsi="Segoe UI" w:cs="Segoe UI"/>
                <w:color w:val="000000" w:themeColor="text1"/>
                <w:sz w:val="20"/>
              </w:rPr>
            </w:pPr>
            <w:r w:rsidRPr="008345BD">
              <w:rPr>
                <w:rFonts w:ascii="Segoe UI" w:hAnsi="Segoe UI" w:cs="Segoe UI"/>
                <w:color w:val="000000" w:themeColor="text1"/>
                <w:sz w:val="20"/>
              </w:rPr>
              <w:t>=</w:t>
            </w:r>
          </w:p>
        </w:tc>
        <w:tc>
          <w:tcPr>
            <w:tcW w:w="2282" w:type="dxa"/>
            <w:shd w:val="clear" w:color="auto" w:fill="auto"/>
          </w:tcPr>
          <w:p w14:paraId="1C7EB5D0" w14:textId="77777777" w:rsidR="00AE449A" w:rsidRPr="008345BD" w:rsidRDefault="00AE449A" w:rsidP="005D6C85">
            <w:pPr>
              <w:pStyle w:val="Recuodecorpodetexto"/>
              <w:overflowPunct w:val="0"/>
              <w:autoSpaceDE w:val="0"/>
              <w:autoSpaceDN w:val="0"/>
              <w:adjustRightInd w:val="0"/>
              <w:spacing w:line="360" w:lineRule="auto"/>
              <w:ind w:firstLine="0"/>
              <w:textAlignment w:val="baseline"/>
              <w:rPr>
                <w:rFonts w:ascii="Segoe UI" w:hAnsi="Segoe UI" w:cs="Segoe UI"/>
                <w:color w:val="000000" w:themeColor="text1"/>
                <w:sz w:val="20"/>
              </w:rPr>
            </w:pPr>
            <w:r w:rsidRPr="008345BD">
              <w:rPr>
                <w:rFonts w:ascii="Segoe UI" w:hAnsi="Segoe UI" w:cs="Segoe UI"/>
                <w:color w:val="000000" w:themeColor="text1"/>
                <w:sz w:val="20"/>
              </w:rPr>
              <w:t>Valor de Referência</w:t>
            </w:r>
          </w:p>
        </w:tc>
        <w:tc>
          <w:tcPr>
            <w:tcW w:w="406" w:type="dxa"/>
            <w:shd w:val="clear" w:color="auto" w:fill="auto"/>
          </w:tcPr>
          <w:p w14:paraId="4411A98E" w14:textId="77777777" w:rsidR="00AE449A" w:rsidRPr="008345BD" w:rsidRDefault="00AE449A" w:rsidP="005D6C85">
            <w:pPr>
              <w:pStyle w:val="Recuodecorpodetexto"/>
              <w:overflowPunct w:val="0"/>
              <w:autoSpaceDE w:val="0"/>
              <w:autoSpaceDN w:val="0"/>
              <w:adjustRightInd w:val="0"/>
              <w:spacing w:line="360" w:lineRule="auto"/>
              <w:ind w:firstLine="0"/>
              <w:textAlignment w:val="baseline"/>
              <w:rPr>
                <w:rFonts w:ascii="Segoe UI" w:hAnsi="Segoe UI" w:cs="Segoe UI"/>
                <w:color w:val="000000" w:themeColor="text1"/>
                <w:sz w:val="20"/>
              </w:rPr>
            </w:pPr>
            <w:r w:rsidRPr="008345BD">
              <w:rPr>
                <w:rFonts w:ascii="Segoe UI" w:hAnsi="Segoe UI" w:cs="Segoe UI"/>
                <w:color w:val="000000" w:themeColor="text1"/>
                <w:sz w:val="20"/>
              </w:rPr>
              <w:t>x</w:t>
            </w:r>
          </w:p>
        </w:tc>
        <w:tc>
          <w:tcPr>
            <w:tcW w:w="993" w:type="dxa"/>
            <w:shd w:val="clear" w:color="auto" w:fill="auto"/>
          </w:tcPr>
          <w:p w14:paraId="74A280E1" w14:textId="77777777" w:rsidR="00AE449A" w:rsidRPr="008345BD" w:rsidRDefault="00AE449A" w:rsidP="005D6C85">
            <w:pPr>
              <w:pStyle w:val="Recuodecorpodetexto"/>
              <w:overflowPunct w:val="0"/>
              <w:autoSpaceDE w:val="0"/>
              <w:autoSpaceDN w:val="0"/>
              <w:adjustRightInd w:val="0"/>
              <w:spacing w:line="360" w:lineRule="auto"/>
              <w:ind w:firstLine="0"/>
              <w:textAlignment w:val="baseline"/>
              <w:rPr>
                <w:rFonts w:ascii="Segoe UI" w:hAnsi="Segoe UI" w:cs="Segoe UI"/>
                <w:color w:val="000000" w:themeColor="text1"/>
                <w:sz w:val="20"/>
              </w:rPr>
            </w:pPr>
            <w:r w:rsidRPr="008345BD">
              <w:rPr>
                <w:rFonts w:ascii="Segoe UI" w:hAnsi="Segoe UI" w:cs="Segoe UI"/>
                <w:color w:val="000000" w:themeColor="text1"/>
                <w:sz w:val="20"/>
              </w:rPr>
              <w:t>Target</w:t>
            </w:r>
          </w:p>
        </w:tc>
        <w:tc>
          <w:tcPr>
            <w:tcW w:w="425" w:type="dxa"/>
            <w:shd w:val="clear" w:color="auto" w:fill="auto"/>
          </w:tcPr>
          <w:p w14:paraId="19371ED8" w14:textId="77777777" w:rsidR="00AE449A" w:rsidRPr="008345BD" w:rsidRDefault="00AE449A" w:rsidP="005D6C85">
            <w:pPr>
              <w:pStyle w:val="Recuodecorpodetexto"/>
              <w:overflowPunct w:val="0"/>
              <w:autoSpaceDE w:val="0"/>
              <w:autoSpaceDN w:val="0"/>
              <w:adjustRightInd w:val="0"/>
              <w:spacing w:line="360" w:lineRule="auto"/>
              <w:ind w:firstLine="0"/>
              <w:textAlignment w:val="baseline"/>
              <w:rPr>
                <w:rFonts w:ascii="Segoe UI" w:hAnsi="Segoe UI" w:cs="Segoe UI"/>
                <w:color w:val="000000" w:themeColor="text1"/>
                <w:sz w:val="20"/>
              </w:rPr>
            </w:pPr>
            <w:r w:rsidRPr="008345BD">
              <w:rPr>
                <w:rFonts w:ascii="Segoe UI" w:hAnsi="Segoe UI" w:cs="Segoe UI"/>
                <w:color w:val="000000" w:themeColor="text1"/>
                <w:sz w:val="20"/>
              </w:rPr>
              <w:t>x</w:t>
            </w:r>
          </w:p>
        </w:tc>
        <w:tc>
          <w:tcPr>
            <w:tcW w:w="2268" w:type="dxa"/>
            <w:shd w:val="clear" w:color="auto" w:fill="auto"/>
          </w:tcPr>
          <w:p w14:paraId="72A6F58B" w14:textId="339F3DA1" w:rsidR="00AE449A" w:rsidRPr="008345BD" w:rsidRDefault="00C114C7" w:rsidP="00630ADD">
            <w:pPr>
              <w:pStyle w:val="Recuodecorpodetexto"/>
              <w:overflowPunct w:val="0"/>
              <w:autoSpaceDE w:val="0"/>
              <w:autoSpaceDN w:val="0"/>
              <w:adjustRightInd w:val="0"/>
              <w:spacing w:line="360" w:lineRule="auto"/>
              <w:ind w:firstLine="0"/>
              <w:jc w:val="center"/>
              <w:textAlignment w:val="baseline"/>
              <w:rPr>
                <w:rFonts w:ascii="Segoe UI" w:hAnsi="Segoe UI" w:cs="Segoe UI"/>
                <w:color w:val="000000" w:themeColor="text1"/>
                <w:sz w:val="20"/>
              </w:rPr>
            </w:pPr>
            <w:r>
              <w:rPr>
                <w:rFonts w:ascii="Segoe UI" w:hAnsi="Segoe UI" w:cs="Segoe UI"/>
                <w:color w:val="000000" w:themeColor="text1"/>
                <w:sz w:val="20"/>
              </w:rPr>
              <w:t xml:space="preserve">Régua de </w:t>
            </w:r>
            <w:r w:rsidR="00AE449A" w:rsidRPr="008345BD">
              <w:rPr>
                <w:rFonts w:ascii="Segoe UI" w:hAnsi="Segoe UI" w:cs="Segoe UI"/>
                <w:color w:val="000000" w:themeColor="text1"/>
                <w:sz w:val="20"/>
              </w:rPr>
              <w:t>Atingimento da Meta</w:t>
            </w:r>
          </w:p>
        </w:tc>
      </w:tr>
    </w:tbl>
    <w:p w14:paraId="4DCB1209" w14:textId="1207DE83" w:rsidR="00FA7103" w:rsidRPr="00175518" w:rsidRDefault="00175518" w:rsidP="0010090F">
      <w:pPr>
        <w:pStyle w:val="Recuodecorpodetexto"/>
        <w:spacing w:before="200" w:after="200" w:line="360" w:lineRule="auto"/>
        <w:ind w:firstLine="0"/>
        <w:rPr>
          <w:rFonts w:ascii="Segoe UI" w:hAnsi="Segoe UI" w:cs="Segoe UI"/>
          <w:b/>
          <w:bCs/>
          <w:caps/>
          <w:color w:val="000000" w:themeColor="text1"/>
          <w:sz w:val="20"/>
        </w:rPr>
      </w:pPr>
      <w:r w:rsidRPr="00175518">
        <w:rPr>
          <w:rFonts w:ascii="Segoe UI" w:hAnsi="Segoe UI" w:cs="Segoe UI"/>
          <w:b/>
          <w:bCs/>
          <w:caps/>
          <w:color w:val="000000" w:themeColor="text1"/>
          <w:sz w:val="20"/>
        </w:rPr>
        <w:t xml:space="preserve">DO </w:t>
      </w:r>
      <w:r w:rsidR="00FA7103" w:rsidRPr="00175518">
        <w:rPr>
          <w:rFonts w:ascii="Segoe UI" w:hAnsi="Segoe UI" w:cs="Segoe UI"/>
          <w:b/>
          <w:bCs/>
          <w:caps/>
          <w:color w:val="000000" w:themeColor="text1"/>
          <w:sz w:val="20"/>
        </w:rPr>
        <w:t>Valor de Referência</w:t>
      </w:r>
      <w:r w:rsidR="00590F15" w:rsidRPr="00175518">
        <w:rPr>
          <w:rFonts w:ascii="Segoe UI" w:hAnsi="Segoe UI" w:cs="Segoe UI"/>
          <w:b/>
          <w:bCs/>
          <w:caps/>
          <w:color w:val="000000" w:themeColor="text1"/>
          <w:sz w:val="20"/>
        </w:rPr>
        <w:t xml:space="preserve"> E TARGET</w:t>
      </w:r>
    </w:p>
    <w:p w14:paraId="01B96F24" w14:textId="77777777" w:rsidR="00590F15" w:rsidRPr="001222C0" w:rsidRDefault="00590F15" w:rsidP="0010090F">
      <w:pPr>
        <w:pStyle w:val="Recuodecorpodetexto"/>
        <w:spacing w:before="200" w:after="200" w:line="360" w:lineRule="auto"/>
        <w:ind w:firstLine="0"/>
        <w:rPr>
          <w:rFonts w:ascii="Segoe UI" w:hAnsi="Segoe UI" w:cs="Segoe UI"/>
          <w:color w:val="000000" w:themeColor="text1"/>
          <w:sz w:val="20"/>
        </w:rPr>
      </w:pPr>
      <w:r w:rsidRPr="001222C0">
        <w:rPr>
          <w:rFonts w:ascii="Segoe UI" w:hAnsi="Segoe UI" w:cs="Segoe UI"/>
          <w:color w:val="000000" w:themeColor="text1"/>
          <w:sz w:val="20"/>
        </w:rPr>
        <w:t>O Target é definido de acordo com os Grupos de Funções. O Valor de Referência de cada empregado é multiplicado pelo Target, correspondente a 100% (cem por cento) da meta.</w:t>
      </w:r>
    </w:p>
    <w:p w14:paraId="7952EF2B" w14:textId="1248DC9E" w:rsidR="00FA7103" w:rsidRPr="001222C0" w:rsidRDefault="00590F15" w:rsidP="0010090F">
      <w:pPr>
        <w:spacing w:before="200" w:after="200" w:line="360" w:lineRule="auto"/>
        <w:jc w:val="both"/>
        <w:rPr>
          <w:rFonts w:ascii="Segoe UI" w:hAnsi="Segoe UI" w:cs="Segoe UI"/>
          <w:color w:val="000000" w:themeColor="text1"/>
          <w:sz w:val="20"/>
          <w:szCs w:val="20"/>
        </w:rPr>
      </w:pPr>
      <w:r w:rsidRPr="001222C0">
        <w:rPr>
          <w:rFonts w:ascii="Segoe UI" w:hAnsi="Segoe UI" w:cs="Segoe UI"/>
          <w:color w:val="000000" w:themeColor="text1"/>
          <w:sz w:val="20"/>
          <w:szCs w:val="20"/>
        </w:rPr>
        <w:t xml:space="preserve">Para efeitos deste Acordo Coletivo, o Valor de Referência </w:t>
      </w:r>
      <w:r w:rsidR="00A4140A" w:rsidRPr="001222C0">
        <w:rPr>
          <w:rFonts w:ascii="Segoe UI" w:hAnsi="Segoe UI" w:cs="Segoe UI"/>
          <w:color w:val="000000" w:themeColor="text1"/>
          <w:sz w:val="20"/>
          <w:szCs w:val="20"/>
        </w:rPr>
        <w:t xml:space="preserve">e os Targets estão estipulados </w:t>
      </w:r>
      <w:r w:rsidRPr="001222C0">
        <w:rPr>
          <w:rFonts w:ascii="Segoe UI" w:hAnsi="Segoe UI" w:cs="Segoe UI"/>
          <w:color w:val="000000" w:themeColor="text1"/>
          <w:sz w:val="20"/>
          <w:szCs w:val="20"/>
        </w:rPr>
        <w:t>conforme tabela apresentada a seguir:</w:t>
      </w:r>
    </w:p>
    <w:tbl>
      <w:tblPr>
        <w:tblW w:w="9500" w:type="dxa"/>
        <w:tblCellMar>
          <w:left w:w="70" w:type="dxa"/>
          <w:right w:w="70" w:type="dxa"/>
        </w:tblCellMar>
        <w:tblLook w:val="04A0" w:firstRow="1" w:lastRow="0" w:firstColumn="1" w:lastColumn="0" w:noHBand="0" w:noVBand="1"/>
      </w:tblPr>
      <w:tblGrid>
        <w:gridCol w:w="3220"/>
        <w:gridCol w:w="3680"/>
        <w:gridCol w:w="1080"/>
        <w:gridCol w:w="1520"/>
      </w:tblGrid>
      <w:tr w:rsidR="00AF1885" w:rsidRPr="00AF1885" w14:paraId="6FFE7630" w14:textId="77777777" w:rsidTr="00AF1885">
        <w:trPr>
          <w:trHeight w:val="960"/>
          <w:tblHeader/>
        </w:trPr>
        <w:tc>
          <w:tcPr>
            <w:tcW w:w="3220" w:type="dxa"/>
            <w:tcBorders>
              <w:top w:val="nil"/>
              <w:left w:val="nil"/>
              <w:bottom w:val="nil"/>
              <w:right w:val="nil"/>
            </w:tcBorders>
            <w:shd w:val="clear" w:color="000000" w:fill="0094FF"/>
            <w:vAlign w:val="center"/>
            <w:hideMark/>
          </w:tcPr>
          <w:p w14:paraId="6DD8039B" w14:textId="77777777" w:rsidR="00AF1885" w:rsidRPr="00AF1885" w:rsidRDefault="00AF1885" w:rsidP="00AF1885">
            <w:pPr>
              <w:spacing w:after="0" w:line="240" w:lineRule="auto"/>
              <w:jc w:val="center"/>
              <w:rPr>
                <w:rFonts w:ascii="Calibri" w:eastAsia="Times New Roman" w:hAnsi="Calibri" w:cs="Calibri"/>
                <w:b/>
                <w:bCs/>
                <w:color w:val="E7E6E6"/>
                <w:sz w:val="20"/>
                <w:szCs w:val="20"/>
                <w:lang w:eastAsia="pt-BR"/>
              </w:rPr>
            </w:pPr>
            <w:r w:rsidRPr="00AF1885">
              <w:rPr>
                <w:rFonts w:ascii="Calibri" w:eastAsia="Times New Roman" w:hAnsi="Calibri" w:cs="Calibri"/>
                <w:b/>
                <w:bCs/>
                <w:color w:val="E7E6E6"/>
                <w:sz w:val="20"/>
                <w:szCs w:val="20"/>
                <w:lang w:eastAsia="pt-BR"/>
              </w:rPr>
              <w:t xml:space="preserve">Grupo </w:t>
            </w:r>
          </w:p>
        </w:tc>
        <w:tc>
          <w:tcPr>
            <w:tcW w:w="3680" w:type="dxa"/>
            <w:tcBorders>
              <w:top w:val="nil"/>
              <w:left w:val="nil"/>
              <w:bottom w:val="nil"/>
              <w:right w:val="nil"/>
            </w:tcBorders>
            <w:shd w:val="clear" w:color="000000" w:fill="0094FF"/>
            <w:vAlign w:val="center"/>
            <w:hideMark/>
          </w:tcPr>
          <w:p w14:paraId="130F3A49" w14:textId="77777777" w:rsidR="00AF1885" w:rsidRPr="00AF1885" w:rsidRDefault="00AF1885" w:rsidP="00AF1885">
            <w:pPr>
              <w:spacing w:after="0" w:line="240" w:lineRule="auto"/>
              <w:jc w:val="center"/>
              <w:rPr>
                <w:rFonts w:ascii="Calibri" w:eastAsia="Times New Roman" w:hAnsi="Calibri" w:cs="Calibri"/>
                <w:b/>
                <w:bCs/>
                <w:color w:val="E7E6E6"/>
                <w:sz w:val="20"/>
                <w:szCs w:val="20"/>
                <w:lang w:eastAsia="pt-BR"/>
              </w:rPr>
            </w:pPr>
            <w:r w:rsidRPr="00AF1885">
              <w:rPr>
                <w:rFonts w:ascii="Calibri" w:eastAsia="Times New Roman" w:hAnsi="Calibri" w:cs="Calibri"/>
                <w:b/>
                <w:bCs/>
                <w:color w:val="E7E6E6"/>
                <w:sz w:val="20"/>
                <w:szCs w:val="20"/>
                <w:lang w:eastAsia="pt-BR"/>
              </w:rPr>
              <w:t>Função</w:t>
            </w:r>
          </w:p>
        </w:tc>
        <w:tc>
          <w:tcPr>
            <w:tcW w:w="1080" w:type="dxa"/>
            <w:tcBorders>
              <w:top w:val="nil"/>
              <w:left w:val="nil"/>
              <w:bottom w:val="nil"/>
              <w:right w:val="nil"/>
            </w:tcBorders>
            <w:shd w:val="clear" w:color="000000" w:fill="0094FF"/>
            <w:vAlign w:val="center"/>
            <w:hideMark/>
          </w:tcPr>
          <w:p w14:paraId="4A3BC86D" w14:textId="77777777" w:rsidR="00AF1885" w:rsidRPr="00AF1885" w:rsidRDefault="00AF1885" w:rsidP="00AF1885">
            <w:pPr>
              <w:spacing w:after="0" w:line="240" w:lineRule="auto"/>
              <w:jc w:val="center"/>
              <w:rPr>
                <w:rFonts w:ascii="Calibri" w:eastAsia="Times New Roman" w:hAnsi="Calibri" w:cs="Calibri"/>
                <w:b/>
                <w:bCs/>
                <w:color w:val="E7E6E6"/>
                <w:sz w:val="20"/>
                <w:szCs w:val="20"/>
                <w:lang w:eastAsia="pt-BR"/>
              </w:rPr>
            </w:pPr>
            <w:r w:rsidRPr="00AF1885">
              <w:rPr>
                <w:rFonts w:ascii="Calibri" w:eastAsia="Times New Roman" w:hAnsi="Calibri" w:cs="Calibri"/>
                <w:b/>
                <w:bCs/>
                <w:color w:val="E7E6E6"/>
                <w:sz w:val="20"/>
                <w:szCs w:val="20"/>
                <w:lang w:eastAsia="pt-BR"/>
              </w:rPr>
              <w:t>Target</w:t>
            </w:r>
            <w:r w:rsidRPr="00AF1885">
              <w:rPr>
                <w:rFonts w:ascii="Calibri" w:eastAsia="Times New Roman" w:hAnsi="Calibri" w:cs="Calibri"/>
                <w:b/>
                <w:bCs/>
                <w:color w:val="E7E6E6"/>
                <w:sz w:val="20"/>
                <w:szCs w:val="20"/>
                <w:lang w:eastAsia="pt-BR"/>
              </w:rPr>
              <w:br/>
            </w:r>
            <w:r w:rsidRPr="00AF1885">
              <w:rPr>
                <w:rFonts w:ascii="Calibri" w:eastAsia="Times New Roman" w:hAnsi="Calibri" w:cs="Calibri"/>
                <w:b/>
                <w:bCs/>
                <w:color w:val="E7E6E6"/>
                <w:sz w:val="16"/>
                <w:szCs w:val="16"/>
                <w:lang w:eastAsia="pt-BR"/>
              </w:rPr>
              <w:t>(100% Meta)</w:t>
            </w:r>
          </w:p>
        </w:tc>
        <w:tc>
          <w:tcPr>
            <w:tcW w:w="1520" w:type="dxa"/>
            <w:tcBorders>
              <w:top w:val="nil"/>
              <w:left w:val="nil"/>
              <w:bottom w:val="nil"/>
              <w:right w:val="nil"/>
            </w:tcBorders>
            <w:shd w:val="clear" w:color="000000" w:fill="0094FF"/>
            <w:vAlign w:val="center"/>
            <w:hideMark/>
          </w:tcPr>
          <w:p w14:paraId="7284E97E" w14:textId="77777777" w:rsidR="00AF1885" w:rsidRPr="00AF1885" w:rsidRDefault="00AF1885" w:rsidP="00AF1885">
            <w:pPr>
              <w:spacing w:after="0" w:line="240" w:lineRule="auto"/>
              <w:jc w:val="center"/>
              <w:rPr>
                <w:rFonts w:ascii="Calibri" w:eastAsia="Times New Roman" w:hAnsi="Calibri" w:cs="Calibri"/>
                <w:b/>
                <w:bCs/>
                <w:color w:val="E7E6E6"/>
                <w:sz w:val="20"/>
                <w:szCs w:val="20"/>
                <w:lang w:eastAsia="pt-BR"/>
              </w:rPr>
            </w:pPr>
            <w:r w:rsidRPr="00AF1885">
              <w:rPr>
                <w:rFonts w:ascii="Calibri" w:eastAsia="Times New Roman" w:hAnsi="Calibri" w:cs="Calibri"/>
                <w:b/>
                <w:bCs/>
                <w:color w:val="E7E6E6"/>
                <w:sz w:val="20"/>
                <w:szCs w:val="20"/>
                <w:lang w:eastAsia="pt-BR"/>
              </w:rPr>
              <w:t>Valor Referência</w:t>
            </w:r>
          </w:p>
        </w:tc>
      </w:tr>
      <w:tr w:rsidR="00AF1885" w:rsidRPr="00AF1885" w14:paraId="5F7D1EFA" w14:textId="77777777" w:rsidTr="00AF1885">
        <w:trPr>
          <w:trHeight w:val="456"/>
        </w:trPr>
        <w:tc>
          <w:tcPr>
            <w:tcW w:w="3220" w:type="dxa"/>
            <w:tcBorders>
              <w:top w:val="nil"/>
              <w:left w:val="nil"/>
              <w:bottom w:val="single" w:sz="4" w:space="0" w:color="BFBFBF"/>
              <w:right w:val="nil"/>
            </w:tcBorders>
            <w:shd w:val="clear" w:color="000000" w:fill="F2F2F2"/>
            <w:noWrap/>
            <w:vAlign w:val="center"/>
            <w:hideMark/>
          </w:tcPr>
          <w:p w14:paraId="1009138A"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Superintendente Regional</w:t>
            </w:r>
          </w:p>
        </w:tc>
        <w:tc>
          <w:tcPr>
            <w:tcW w:w="3680" w:type="dxa"/>
            <w:tcBorders>
              <w:top w:val="nil"/>
              <w:left w:val="nil"/>
              <w:bottom w:val="single" w:sz="4" w:space="0" w:color="BFBFBF"/>
              <w:right w:val="nil"/>
            </w:tcBorders>
            <w:shd w:val="clear" w:color="000000" w:fill="F2F2F2"/>
            <w:noWrap/>
            <w:vAlign w:val="center"/>
            <w:hideMark/>
          </w:tcPr>
          <w:p w14:paraId="473F519A"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-Superintendente Regional</w:t>
            </w:r>
          </w:p>
        </w:tc>
        <w:tc>
          <w:tcPr>
            <w:tcW w:w="1080" w:type="dxa"/>
            <w:tcBorders>
              <w:top w:val="nil"/>
              <w:left w:val="nil"/>
              <w:bottom w:val="single" w:sz="4" w:space="0" w:color="BFBFBF"/>
              <w:right w:val="nil"/>
            </w:tcBorders>
            <w:shd w:val="clear" w:color="000000" w:fill="F2F2F2"/>
            <w:noWrap/>
            <w:vAlign w:val="center"/>
            <w:hideMark/>
          </w:tcPr>
          <w:p w14:paraId="632A4AD3"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4</w:t>
            </w:r>
          </w:p>
        </w:tc>
        <w:tc>
          <w:tcPr>
            <w:tcW w:w="1520" w:type="dxa"/>
            <w:tcBorders>
              <w:top w:val="nil"/>
              <w:left w:val="nil"/>
              <w:bottom w:val="single" w:sz="4" w:space="0" w:color="BFBFBF"/>
              <w:right w:val="nil"/>
            </w:tcBorders>
            <w:shd w:val="clear" w:color="000000" w:fill="F2F2F2"/>
            <w:noWrap/>
            <w:vAlign w:val="center"/>
            <w:hideMark/>
          </w:tcPr>
          <w:p w14:paraId="68855E3C" w14:textId="6B625582"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20.591,2</w:t>
            </w:r>
            <w:r w:rsidR="000416A5">
              <w:rPr>
                <w:rFonts w:ascii="Calibri" w:eastAsia="Times New Roman" w:hAnsi="Calibri" w:cs="Calibri"/>
                <w:color w:val="000000"/>
                <w:sz w:val="20"/>
                <w:szCs w:val="20"/>
                <w:lang w:eastAsia="pt-BR"/>
              </w:rPr>
              <w:t>7</w:t>
            </w:r>
            <w:r w:rsidRPr="00AF1885">
              <w:rPr>
                <w:rFonts w:ascii="Calibri" w:eastAsia="Times New Roman" w:hAnsi="Calibri" w:cs="Calibri"/>
                <w:color w:val="000000"/>
                <w:sz w:val="20"/>
                <w:szCs w:val="20"/>
                <w:lang w:eastAsia="pt-BR"/>
              </w:rPr>
              <w:t xml:space="preserve"> </w:t>
            </w:r>
          </w:p>
        </w:tc>
      </w:tr>
      <w:tr w:rsidR="00AF1885" w:rsidRPr="00AF1885" w14:paraId="2FE2C646" w14:textId="77777777" w:rsidTr="00AF1885">
        <w:trPr>
          <w:trHeight w:val="1116"/>
        </w:trPr>
        <w:tc>
          <w:tcPr>
            <w:tcW w:w="3220" w:type="dxa"/>
            <w:tcBorders>
              <w:top w:val="nil"/>
              <w:left w:val="nil"/>
              <w:bottom w:val="single" w:sz="4" w:space="0" w:color="BFBFBF"/>
              <w:right w:val="nil"/>
            </w:tcBorders>
            <w:shd w:val="clear" w:color="000000" w:fill="FFFFFF"/>
            <w:noWrap/>
            <w:vAlign w:val="center"/>
            <w:hideMark/>
          </w:tcPr>
          <w:p w14:paraId="5E1A4E56"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Superintendente Executivo</w:t>
            </w:r>
          </w:p>
        </w:tc>
        <w:tc>
          <w:tcPr>
            <w:tcW w:w="3680" w:type="dxa"/>
            <w:tcBorders>
              <w:top w:val="nil"/>
              <w:left w:val="nil"/>
              <w:bottom w:val="single" w:sz="4" w:space="0" w:color="BFBFBF"/>
              <w:right w:val="nil"/>
            </w:tcBorders>
            <w:shd w:val="clear" w:color="000000" w:fill="FFFFFF"/>
            <w:vAlign w:val="center"/>
            <w:hideMark/>
          </w:tcPr>
          <w:p w14:paraId="323C1A33"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-Chefe de Auditoria</w:t>
            </w:r>
            <w:r w:rsidRPr="00AF1885">
              <w:rPr>
                <w:rFonts w:ascii="Calibri" w:eastAsia="Times New Roman" w:hAnsi="Calibri" w:cs="Calibri"/>
                <w:color w:val="000000"/>
                <w:sz w:val="20"/>
                <w:szCs w:val="20"/>
                <w:lang w:eastAsia="pt-BR"/>
              </w:rPr>
              <w:br/>
              <w:t>-Ouvidor</w:t>
            </w:r>
            <w:r w:rsidRPr="00AF1885">
              <w:rPr>
                <w:rFonts w:ascii="Calibri" w:eastAsia="Times New Roman" w:hAnsi="Calibri" w:cs="Calibri"/>
                <w:color w:val="000000"/>
                <w:sz w:val="20"/>
                <w:szCs w:val="20"/>
                <w:lang w:eastAsia="pt-BR"/>
              </w:rPr>
              <w:br/>
              <w:t>-Secretário-Geral</w:t>
            </w:r>
            <w:r w:rsidRPr="00AF1885">
              <w:rPr>
                <w:rFonts w:ascii="Calibri" w:eastAsia="Times New Roman" w:hAnsi="Calibri" w:cs="Calibri"/>
                <w:color w:val="000000"/>
                <w:sz w:val="20"/>
                <w:szCs w:val="20"/>
                <w:lang w:eastAsia="pt-BR"/>
              </w:rPr>
              <w:br/>
              <w:t>-Superintendente Executivo</w:t>
            </w:r>
          </w:p>
        </w:tc>
        <w:tc>
          <w:tcPr>
            <w:tcW w:w="1080" w:type="dxa"/>
            <w:tcBorders>
              <w:top w:val="nil"/>
              <w:left w:val="nil"/>
              <w:bottom w:val="single" w:sz="4" w:space="0" w:color="BFBFBF"/>
              <w:right w:val="nil"/>
            </w:tcBorders>
            <w:shd w:val="clear" w:color="000000" w:fill="FFFFFF"/>
            <w:noWrap/>
            <w:vAlign w:val="center"/>
            <w:hideMark/>
          </w:tcPr>
          <w:p w14:paraId="46C5F204"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4</w:t>
            </w:r>
          </w:p>
        </w:tc>
        <w:tc>
          <w:tcPr>
            <w:tcW w:w="1520" w:type="dxa"/>
            <w:tcBorders>
              <w:top w:val="nil"/>
              <w:left w:val="nil"/>
              <w:bottom w:val="single" w:sz="4" w:space="0" w:color="BFBFBF"/>
              <w:right w:val="nil"/>
            </w:tcBorders>
            <w:shd w:val="clear" w:color="000000" w:fill="FFFFFF"/>
            <w:noWrap/>
            <w:vAlign w:val="center"/>
            <w:hideMark/>
          </w:tcPr>
          <w:p w14:paraId="32E254FA" w14:textId="170B945F"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20.591,2</w:t>
            </w:r>
            <w:r w:rsidR="000416A5">
              <w:rPr>
                <w:rFonts w:ascii="Calibri" w:eastAsia="Times New Roman" w:hAnsi="Calibri" w:cs="Calibri"/>
                <w:color w:val="000000"/>
                <w:sz w:val="20"/>
                <w:szCs w:val="20"/>
                <w:lang w:eastAsia="pt-BR"/>
              </w:rPr>
              <w:t>7</w:t>
            </w:r>
            <w:r w:rsidRPr="00AF1885">
              <w:rPr>
                <w:rFonts w:ascii="Calibri" w:eastAsia="Times New Roman" w:hAnsi="Calibri" w:cs="Calibri"/>
                <w:color w:val="000000"/>
                <w:sz w:val="20"/>
                <w:szCs w:val="20"/>
                <w:lang w:eastAsia="pt-BR"/>
              </w:rPr>
              <w:t xml:space="preserve"> </w:t>
            </w:r>
          </w:p>
        </w:tc>
      </w:tr>
      <w:tr w:rsidR="00AF1885" w:rsidRPr="00AF1885" w14:paraId="6DB2C36C" w14:textId="77777777" w:rsidTr="00AF1885">
        <w:trPr>
          <w:trHeight w:val="624"/>
        </w:trPr>
        <w:tc>
          <w:tcPr>
            <w:tcW w:w="3220" w:type="dxa"/>
            <w:tcBorders>
              <w:top w:val="nil"/>
              <w:left w:val="nil"/>
              <w:bottom w:val="single" w:sz="4" w:space="0" w:color="BFBFBF"/>
              <w:right w:val="nil"/>
            </w:tcBorders>
            <w:shd w:val="clear" w:color="000000" w:fill="F2F2F2"/>
            <w:noWrap/>
            <w:vAlign w:val="center"/>
            <w:hideMark/>
          </w:tcPr>
          <w:p w14:paraId="29DD41E6"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Gerente Executivo</w:t>
            </w:r>
          </w:p>
        </w:tc>
        <w:tc>
          <w:tcPr>
            <w:tcW w:w="3680" w:type="dxa"/>
            <w:tcBorders>
              <w:top w:val="nil"/>
              <w:left w:val="nil"/>
              <w:bottom w:val="single" w:sz="4" w:space="0" w:color="BFBFBF"/>
              <w:right w:val="nil"/>
            </w:tcBorders>
            <w:shd w:val="clear" w:color="000000" w:fill="F2F2F2"/>
            <w:vAlign w:val="center"/>
            <w:hideMark/>
          </w:tcPr>
          <w:p w14:paraId="2835DF8F"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Executivo</w:t>
            </w:r>
            <w:r w:rsidRPr="00AF1885">
              <w:rPr>
                <w:rFonts w:ascii="Calibri" w:eastAsia="Times New Roman" w:hAnsi="Calibri" w:cs="Calibri"/>
                <w:color w:val="000000"/>
                <w:sz w:val="20"/>
                <w:szCs w:val="20"/>
                <w:lang w:eastAsia="pt-BR"/>
              </w:rPr>
              <w:br/>
              <w:t>-Secretário Adjunto</w:t>
            </w:r>
          </w:p>
        </w:tc>
        <w:tc>
          <w:tcPr>
            <w:tcW w:w="1080" w:type="dxa"/>
            <w:tcBorders>
              <w:top w:val="nil"/>
              <w:left w:val="nil"/>
              <w:bottom w:val="single" w:sz="4" w:space="0" w:color="BFBFBF"/>
              <w:right w:val="nil"/>
            </w:tcBorders>
            <w:shd w:val="clear" w:color="000000" w:fill="F2F2F2"/>
            <w:noWrap/>
            <w:vAlign w:val="center"/>
            <w:hideMark/>
          </w:tcPr>
          <w:p w14:paraId="35CE43F9" w14:textId="5328C005" w:rsidR="00AF1885" w:rsidRPr="00AF1885" w:rsidRDefault="00A47E2B" w:rsidP="00AF1885">
            <w:pPr>
              <w:spacing w:after="0" w:line="240" w:lineRule="auto"/>
              <w:jc w:val="center"/>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3</w:t>
            </w:r>
          </w:p>
        </w:tc>
        <w:tc>
          <w:tcPr>
            <w:tcW w:w="1520" w:type="dxa"/>
            <w:tcBorders>
              <w:top w:val="nil"/>
              <w:left w:val="nil"/>
              <w:bottom w:val="single" w:sz="4" w:space="0" w:color="BFBFBF"/>
              <w:right w:val="nil"/>
            </w:tcBorders>
            <w:shd w:val="clear" w:color="000000" w:fill="F2F2F2"/>
            <w:noWrap/>
            <w:vAlign w:val="center"/>
            <w:hideMark/>
          </w:tcPr>
          <w:p w14:paraId="451264D3" w14:textId="03E4E1AE"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16.804,1</w:t>
            </w:r>
            <w:r w:rsidR="000416A5">
              <w:rPr>
                <w:rFonts w:ascii="Calibri" w:eastAsia="Times New Roman" w:hAnsi="Calibri" w:cs="Calibri"/>
                <w:color w:val="000000"/>
                <w:sz w:val="20"/>
                <w:szCs w:val="20"/>
                <w:lang w:eastAsia="pt-BR"/>
              </w:rPr>
              <w:t>9</w:t>
            </w:r>
            <w:r w:rsidRPr="00AF1885">
              <w:rPr>
                <w:rFonts w:ascii="Calibri" w:eastAsia="Times New Roman" w:hAnsi="Calibri" w:cs="Calibri"/>
                <w:color w:val="000000"/>
                <w:sz w:val="20"/>
                <w:szCs w:val="20"/>
                <w:lang w:eastAsia="pt-BR"/>
              </w:rPr>
              <w:t xml:space="preserve"> </w:t>
            </w:r>
          </w:p>
        </w:tc>
      </w:tr>
      <w:tr w:rsidR="00AF1885" w:rsidRPr="00AF1885" w14:paraId="6EF0E811" w14:textId="77777777" w:rsidTr="00A47E2B">
        <w:trPr>
          <w:trHeight w:val="708"/>
        </w:trPr>
        <w:tc>
          <w:tcPr>
            <w:tcW w:w="3220" w:type="dxa"/>
            <w:tcBorders>
              <w:top w:val="nil"/>
              <w:left w:val="nil"/>
              <w:bottom w:val="single" w:sz="4" w:space="0" w:color="BFBFBF"/>
              <w:right w:val="nil"/>
            </w:tcBorders>
            <w:shd w:val="clear" w:color="auto" w:fill="auto"/>
            <w:vAlign w:val="center"/>
            <w:hideMark/>
          </w:tcPr>
          <w:p w14:paraId="7DFFFF17"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Gerente Área Comercial </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B</w:t>
            </w:r>
          </w:p>
        </w:tc>
        <w:tc>
          <w:tcPr>
            <w:tcW w:w="3680" w:type="dxa"/>
            <w:tcBorders>
              <w:top w:val="nil"/>
              <w:left w:val="nil"/>
              <w:bottom w:val="single" w:sz="4" w:space="0" w:color="BFBFBF"/>
              <w:right w:val="nil"/>
            </w:tcBorders>
            <w:shd w:val="clear" w:color="auto" w:fill="auto"/>
            <w:vAlign w:val="center"/>
            <w:hideMark/>
          </w:tcPr>
          <w:p w14:paraId="60EA151B"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-Gerente-Geral</w:t>
            </w:r>
          </w:p>
        </w:tc>
        <w:tc>
          <w:tcPr>
            <w:tcW w:w="1080" w:type="dxa"/>
            <w:tcBorders>
              <w:top w:val="nil"/>
              <w:left w:val="nil"/>
              <w:bottom w:val="single" w:sz="4" w:space="0" w:color="BFBFBF"/>
              <w:right w:val="nil"/>
            </w:tcBorders>
            <w:shd w:val="clear" w:color="auto" w:fill="auto"/>
            <w:noWrap/>
            <w:vAlign w:val="center"/>
            <w:hideMark/>
          </w:tcPr>
          <w:p w14:paraId="0F38A17A"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3</w:t>
            </w:r>
          </w:p>
        </w:tc>
        <w:tc>
          <w:tcPr>
            <w:tcW w:w="1520" w:type="dxa"/>
            <w:tcBorders>
              <w:top w:val="nil"/>
              <w:left w:val="nil"/>
              <w:bottom w:val="single" w:sz="4" w:space="0" w:color="BFBFBF"/>
              <w:right w:val="nil"/>
            </w:tcBorders>
            <w:shd w:val="clear" w:color="auto" w:fill="auto"/>
            <w:noWrap/>
            <w:vAlign w:val="center"/>
            <w:hideMark/>
          </w:tcPr>
          <w:p w14:paraId="0A9771AE" w14:textId="22CE98F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16.804,1</w:t>
            </w:r>
            <w:r w:rsidR="000416A5">
              <w:rPr>
                <w:rFonts w:ascii="Calibri" w:eastAsia="Times New Roman" w:hAnsi="Calibri" w:cs="Calibri"/>
                <w:color w:val="000000"/>
                <w:sz w:val="20"/>
                <w:szCs w:val="20"/>
                <w:lang w:eastAsia="pt-BR"/>
              </w:rPr>
              <w:t>9</w:t>
            </w:r>
            <w:r w:rsidRPr="00AF1885">
              <w:rPr>
                <w:rFonts w:ascii="Calibri" w:eastAsia="Times New Roman" w:hAnsi="Calibri" w:cs="Calibri"/>
                <w:color w:val="000000"/>
                <w:sz w:val="20"/>
                <w:szCs w:val="20"/>
                <w:lang w:eastAsia="pt-BR"/>
              </w:rPr>
              <w:t xml:space="preserve"> </w:t>
            </w:r>
          </w:p>
        </w:tc>
      </w:tr>
      <w:tr w:rsidR="00AF1885" w:rsidRPr="00AF1885" w14:paraId="72A4E5E6" w14:textId="77777777" w:rsidTr="00AF1885">
        <w:trPr>
          <w:trHeight w:val="1212"/>
        </w:trPr>
        <w:tc>
          <w:tcPr>
            <w:tcW w:w="3220" w:type="dxa"/>
            <w:tcBorders>
              <w:top w:val="nil"/>
              <w:left w:val="nil"/>
              <w:bottom w:val="single" w:sz="4" w:space="0" w:color="BFBFBF"/>
              <w:right w:val="nil"/>
            </w:tcBorders>
            <w:shd w:val="clear" w:color="000000" w:fill="F2F2F2"/>
            <w:vAlign w:val="center"/>
            <w:hideMark/>
          </w:tcPr>
          <w:p w14:paraId="2B03B56F"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Gerente Área Comercial </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C</w:t>
            </w:r>
          </w:p>
        </w:tc>
        <w:tc>
          <w:tcPr>
            <w:tcW w:w="3680" w:type="dxa"/>
            <w:tcBorders>
              <w:top w:val="nil"/>
              <w:left w:val="nil"/>
              <w:bottom w:val="single" w:sz="4" w:space="0" w:color="BFBFBF"/>
              <w:right w:val="nil"/>
            </w:tcBorders>
            <w:shd w:val="clear" w:color="000000" w:fill="F2F2F2"/>
            <w:vAlign w:val="center"/>
            <w:hideMark/>
          </w:tcPr>
          <w:p w14:paraId="48543479"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Adjunto</w:t>
            </w:r>
            <w:r w:rsidRPr="00AF1885">
              <w:rPr>
                <w:rFonts w:ascii="Calibri" w:eastAsia="Times New Roman" w:hAnsi="Calibri" w:cs="Calibri"/>
                <w:color w:val="000000"/>
                <w:sz w:val="20"/>
                <w:szCs w:val="20"/>
                <w:lang w:eastAsia="pt-BR"/>
              </w:rPr>
              <w:br/>
              <w:t>-Gerente Comercial</w:t>
            </w:r>
            <w:r w:rsidRPr="00AF1885">
              <w:rPr>
                <w:rFonts w:ascii="Calibri" w:eastAsia="Times New Roman" w:hAnsi="Calibri" w:cs="Calibri"/>
                <w:color w:val="000000"/>
                <w:sz w:val="20"/>
                <w:szCs w:val="20"/>
                <w:lang w:eastAsia="pt-BR"/>
              </w:rPr>
              <w:br/>
              <w:t>-Gerente de Negócios Corporativos</w:t>
            </w:r>
            <w:r w:rsidRPr="00AF1885">
              <w:rPr>
                <w:rFonts w:ascii="Calibri" w:eastAsia="Times New Roman" w:hAnsi="Calibri" w:cs="Calibri"/>
                <w:color w:val="000000"/>
                <w:sz w:val="20"/>
                <w:szCs w:val="20"/>
                <w:lang w:eastAsia="pt-BR"/>
              </w:rPr>
              <w:br/>
              <w:t>-Gerente-Geral</w:t>
            </w:r>
          </w:p>
        </w:tc>
        <w:tc>
          <w:tcPr>
            <w:tcW w:w="1080" w:type="dxa"/>
            <w:tcBorders>
              <w:top w:val="nil"/>
              <w:left w:val="nil"/>
              <w:bottom w:val="single" w:sz="4" w:space="0" w:color="BFBFBF"/>
              <w:right w:val="nil"/>
            </w:tcBorders>
            <w:shd w:val="clear" w:color="000000" w:fill="F2F2F2"/>
            <w:noWrap/>
            <w:vAlign w:val="center"/>
            <w:hideMark/>
          </w:tcPr>
          <w:p w14:paraId="616DD4EE"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3</w:t>
            </w:r>
          </w:p>
        </w:tc>
        <w:tc>
          <w:tcPr>
            <w:tcW w:w="1520" w:type="dxa"/>
            <w:tcBorders>
              <w:top w:val="nil"/>
              <w:left w:val="nil"/>
              <w:bottom w:val="single" w:sz="4" w:space="0" w:color="BFBFBF"/>
              <w:right w:val="nil"/>
            </w:tcBorders>
            <w:shd w:val="clear" w:color="000000" w:fill="F2F2F2"/>
            <w:noWrap/>
            <w:vAlign w:val="center"/>
            <w:hideMark/>
          </w:tcPr>
          <w:p w14:paraId="4D8E9988" w14:textId="1FB01672"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13.369,7</w:t>
            </w:r>
            <w:r w:rsidR="000416A5">
              <w:rPr>
                <w:rFonts w:ascii="Calibri" w:eastAsia="Times New Roman" w:hAnsi="Calibri" w:cs="Calibri"/>
                <w:color w:val="000000"/>
                <w:sz w:val="20"/>
                <w:szCs w:val="20"/>
                <w:lang w:eastAsia="pt-BR"/>
              </w:rPr>
              <w:t>3</w:t>
            </w:r>
            <w:r w:rsidRPr="00AF1885">
              <w:rPr>
                <w:rFonts w:ascii="Calibri" w:eastAsia="Times New Roman" w:hAnsi="Calibri" w:cs="Calibri"/>
                <w:color w:val="000000"/>
                <w:sz w:val="20"/>
                <w:szCs w:val="20"/>
                <w:lang w:eastAsia="pt-BR"/>
              </w:rPr>
              <w:t xml:space="preserve"> </w:t>
            </w:r>
          </w:p>
        </w:tc>
      </w:tr>
      <w:tr w:rsidR="00AF1885" w:rsidRPr="00AF1885" w14:paraId="516EDB7E" w14:textId="77777777" w:rsidTr="00AF1885">
        <w:trPr>
          <w:trHeight w:val="1380"/>
        </w:trPr>
        <w:tc>
          <w:tcPr>
            <w:tcW w:w="3220" w:type="dxa"/>
            <w:tcBorders>
              <w:top w:val="nil"/>
              <w:left w:val="nil"/>
              <w:bottom w:val="single" w:sz="4" w:space="0" w:color="BFBFBF"/>
              <w:right w:val="nil"/>
            </w:tcBorders>
            <w:shd w:val="clear" w:color="000000" w:fill="FFFFFF"/>
            <w:vAlign w:val="center"/>
            <w:hideMark/>
          </w:tcPr>
          <w:p w14:paraId="3B148D2F"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Área Comercial</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D</w:t>
            </w:r>
          </w:p>
        </w:tc>
        <w:tc>
          <w:tcPr>
            <w:tcW w:w="3680" w:type="dxa"/>
            <w:tcBorders>
              <w:top w:val="nil"/>
              <w:left w:val="nil"/>
              <w:bottom w:val="single" w:sz="4" w:space="0" w:color="BFBFBF"/>
              <w:right w:val="nil"/>
            </w:tcBorders>
            <w:shd w:val="clear" w:color="000000" w:fill="FFFFFF"/>
            <w:vAlign w:val="center"/>
            <w:hideMark/>
          </w:tcPr>
          <w:p w14:paraId="1E791BD1"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Adjunto</w:t>
            </w:r>
            <w:r w:rsidRPr="00AF1885">
              <w:rPr>
                <w:rFonts w:ascii="Calibri" w:eastAsia="Times New Roman" w:hAnsi="Calibri" w:cs="Calibri"/>
                <w:color w:val="000000"/>
                <w:sz w:val="20"/>
                <w:szCs w:val="20"/>
                <w:lang w:eastAsia="pt-BR"/>
              </w:rPr>
              <w:br/>
              <w:t>-Gerente Comercial</w:t>
            </w:r>
            <w:r w:rsidRPr="00AF1885">
              <w:rPr>
                <w:rFonts w:ascii="Calibri" w:eastAsia="Times New Roman" w:hAnsi="Calibri" w:cs="Calibri"/>
                <w:color w:val="000000"/>
                <w:sz w:val="20"/>
                <w:szCs w:val="20"/>
                <w:lang w:eastAsia="pt-BR"/>
              </w:rPr>
              <w:br/>
              <w:t>-Gerente de Negócios Corporativos</w:t>
            </w:r>
            <w:r w:rsidRPr="00AF1885">
              <w:rPr>
                <w:rFonts w:ascii="Calibri" w:eastAsia="Times New Roman" w:hAnsi="Calibri" w:cs="Calibri"/>
                <w:color w:val="000000"/>
                <w:sz w:val="20"/>
                <w:szCs w:val="20"/>
                <w:lang w:eastAsia="pt-BR"/>
              </w:rPr>
              <w:br/>
              <w:t>-Gerente-Geral</w:t>
            </w:r>
          </w:p>
        </w:tc>
        <w:tc>
          <w:tcPr>
            <w:tcW w:w="1080" w:type="dxa"/>
            <w:tcBorders>
              <w:top w:val="nil"/>
              <w:left w:val="nil"/>
              <w:bottom w:val="single" w:sz="4" w:space="0" w:color="BFBFBF"/>
              <w:right w:val="nil"/>
            </w:tcBorders>
            <w:shd w:val="clear" w:color="000000" w:fill="FFFFFF"/>
            <w:noWrap/>
            <w:vAlign w:val="center"/>
            <w:hideMark/>
          </w:tcPr>
          <w:p w14:paraId="272CEF4D"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3</w:t>
            </w:r>
          </w:p>
        </w:tc>
        <w:tc>
          <w:tcPr>
            <w:tcW w:w="1520" w:type="dxa"/>
            <w:tcBorders>
              <w:top w:val="nil"/>
              <w:left w:val="nil"/>
              <w:bottom w:val="single" w:sz="4" w:space="0" w:color="BFBFBF"/>
              <w:right w:val="nil"/>
            </w:tcBorders>
            <w:shd w:val="clear" w:color="000000" w:fill="FFFFFF"/>
            <w:noWrap/>
            <w:vAlign w:val="center"/>
            <w:hideMark/>
          </w:tcPr>
          <w:p w14:paraId="01E536AA" w14:textId="2E9CCE91"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11.022,3</w:t>
            </w:r>
            <w:r w:rsidR="000416A5">
              <w:rPr>
                <w:rFonts w:ascii="Calibri" w:eastAsia="Times New Roman" w:hAnsi="Calibri" w:cs="Calibri"/>
                <w:color w:val="000000"/>
                <w:sz w:val="20"/>
                <w:szCs w:val="20"/>
                <w:lang w:eastAsia="pt-BR"/>
              </w:rPr>
              <w:t>5</w:t>
            </w:r>
            <w:r w:rsidRPr="00AF1885">
              <w:rPr>
                <w:rFonts w:ascii="Calibri" w:eastAsia="Times New Roman" w:hAnsi="Calibri" w:cs="Calibri"/>
                <w:color w:val="000000"/>
                <w:sz w:val="20"/>
                <w:szCs w:val="20"/>
                <w:lang w:eastAsia="pt-BR"/>
              </w:rPr>
              <w:t xml:space="preserve"> </w:t>
            </w:r>
          </w:p>
        </w:tc>
      </w:tr>
      <w:tr w:rsidR="00AF1885" w:rsidRPr="00AF1885" w14:paraId="5029107F" w14:textId="77777777" w:rsidTr="00AF1885">
        <w:trPr>
          <w:trHeight w:val="1344"/>
        </w:trPr>
        <w:tc>
          <w:tcPr>
            <w:tcW w:w="3220" w:type="dxa"/>
            <w:tcBorders>
              <w:top w:val="nil"/>
              <w:left w:val="nil"/>
              <w:bottom w:val="single" w:sz="4" w:space="0" w:color="BFBFBF"/>
              <w:right w:val="nil"/>
            </w:tcBorders>
            <w:shd w:val="clear" w:color="000000" w:fill="F2F2F2"/>
            <w:hideMark/>
          </w:tcPr>
          <w:p w14:paraId="24E75269"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Área Comercial</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E</w:t>
            </w:r>
          </w:p>
        </w:tc>
        <w:tc>
          <w:tcPr>
            <w:tcW w:w="3680" w:type="dxa"/>
            <w:tcBorders>
              <w:top w:val="nil"/>
              <w:left w:val="nil"/>
              <w:bottom w:val="single" w:sz="4" w:space="0" w:color="BFBFBF"/>
              <w:right w:val="nil"/>
            </w:tcBorders>
            <w:shd w:val="clear" w:color="000000" w:fill="F2F2F2"/>
            <w:vAlign w:val="center"/>
            <w:hideMark/>
          </w:tcPr>
          <w:p w14:paraId="59514442"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Adjunto</w:t>
            </w:r>
            <w:r w:rsidRPr="00AF1885">
              <w:rPr>
                <w:rFonts w:ascii="Calibri" w:eastAsia="Times New Roman" w:hAnsi="Calibri" w:cs="Calibri"/>
                <w:color w:val="000000"/>
                <w:sz w:val="20"/>
                <w:szCs w:val="20"/>
                <w:lang w:eastAsia="pt-BR"/>
              </w:rPr>
              <w:br/>
              <w:t>-Gerente Comercial</w:t>
            </w:r>
            <w:r w:rsidRPr="00AF1885">
              <w:rPr>
                <w:rFonts w:ascii="Calibri" w:eastAsia="Times New Roman" w:hAnsi="Calibri" w:cs="Calibri"/>
                <w:color w:val="000000"/>
                <w:sz w:val="20"/>
                <w:szCs w:val="20"/>
                <w:lang w:eastAsia="pt-BR"/>
              </w:rPr>
              <w:br/>
              <w:t>-Gerente de Negócios Corporativos</w:t>
            </w:r>
            <w:r w:rsidRPr="00AF1885">
              <w:rPr>
                <w:rFonts w:ascii="Calibri" w:eastAsia="Times New Roman" w:hAnsi="Calibri" w:cs="Calibri"/>
                <w:color w:val="000000"/>
                <w:sz w:val="20"/>
                <w:szCs w:val="20"/>
                <w:lang w:eastAsia="pt-BR"/>
              </w:rPr>
              <w:br/>
              <w:t>-Gerente-Geral</w:t>
            </w:r>
          </w:p>
        </w:tc>
        <w:tc>
          <w:tcPr>
            <w:tcW w:w="1080" w:type="dxa"/>
            <w:tcBorders>
              <w:top w:val="nil"/>
              <w:left w:val="nil"/>
              <w:bottom w:val="single" w:sz="4" w:space="0" w:color="BFBFBF"/>
              <w:right w:val="nil"/>
            </w:tcBorders>
            <w:shd w:val="clear" w:color="000000" w:fill="F2F2F2"/>
            <w:noWrap/>
            <w:vAlign w:val="center"/>
            <w:hideMark/>
          </w:tcPr>
          <w:p w14:paraId="1DB48812"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3</w:t>
            </w:r>
          </w:p>
        </w:tc>
        <w:tc>
          <w:tcPr>
            <w:tcW w:w="1520" w:type="dxa"/>
            <w:tcBorders>
              <w:top w:val="nil"/>
              <w:left w:val="nil"/>
              <w:bottom w:val="single" w:sz="4" w:space="0" w:color="BFBFBF"/>
              <w:right w:val="nil"/>
            </w:tcBorders>
            <w:shd w:val="clear" w:color="000000" w:fill="F2F2F2"/>
            <w:noWrap/>
            <w:vAlign w:val="center"/>
            <w:hideMark/>
          </w:tcPr>
          <w:p w14:paraId="31D4EA30"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9.402,99 </w:t>
            </w:r>
          </w:p>
        </w:tc>
      </w:tr>
      <w:tr w:rsidR="00AF1885" w:rsidRPr="00AF1885" w14:paraId="6F8CA0B6" w14:textId="77777777" w:rsidTr="00AF1885">
        <w:trPr>
          <w:trHeight w:val="1848"/>
        </w:trPr>
        <w:tc>
          <w:tcPr>
            <w:tcW w:w="3220" w:type="dxa"/>
            <w:tcBorders>
              <w:top w:val="nil"/>
              <w:left w:val="nil"/>
              <w:bottom w:val="single" w:sz="4" w:space="0" w:color="BFBFBF"/>
              <w:right w:val="nil"/>
            </w:tcBorders>
            <w:shd w:val="clear" w:color="000000" w:fill="FFFFFF"/>
            <w:vAlign w:val="center"/>
            <w:hideMark/>
          </w:tcPr>
          <w:p w14:paraId="526AC8E7"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Área Comercial</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F</w:t>
            </w:r>
          </w:p>
        </w:tc>
        <w:tc>
          <w:tcPr>
            <w:tcW w:w="3680" w:type="dxa"/>
            <w:tcBorders>
              <w:top w:val="nil"/>
              <w:left w:val="nil"/>
              <w:bottom w:val="single" w:sz="4" w:space="0" w:color="BFBFBF"/>
              <w:right w:val="nil"/>
            </w:tcBorders>
            <w:shd w:val="clear" w:color="000000" w:fill="FFFFFF"/>
            <w:vAlign w:val="center"/>
            <w:hideMark/>
          </w:tcPr>
          <w:p w14:paraId="65AA2DEB"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Adjunto</w:t>
            </w:r>
            <w:r w:rsidRPr="00AF1885">
              <w:rPr>
                <w:rFonts w:ascii="Calibri" w:eastAsia="Times New Roman" w:hAnsi="Calibri" w:cs="Calibri"/>
                <w:color w:val="000000"/>
                <w:sz w:val="20"/>
                <w:szCs w:val="20"/>
                <w:lang w:eastAsia="pt-BR"/>
              </w:rPr>
              <w:br/>
              <w:t>-Gerente Comercial</w:t>
            </w:r>
            <w:r w:rsidRPr="00AF1885">
              <w:rPr>
                <w:rFonts w:ascii="Calibri" w:eastAsia="Times New Roman" w:hAnsi="Calibri" w:cs="Calibri"/>
                <w:color w:val="000000"/>
                <w:sz w:val="20"/>
                <w:szCs w:val="20"/>
                <w:lang w:eastAsia="pt-BR"/>
              </w:rPr>
              <w:br/>
              <w:t>-Gerente de Mercado</w:t>
            </w:r>
            <w:r w:rsidRPr="00AF1885">
              <w:rPr>
                <w:rFonts w:ascii="Calibri" w:eastAsia="Times New Roman" w:hAnsi="Calibri" w:cs="Calibri"/>
                <w:color w:val="000000"/>
                <w:sz w:val="20"/>
                <w:szCs w:val="20"/>
                <w:lang w:eastAsia="pt-BR"/>
              </w:rPr>
              <w:br/>
              <w:t>-Gerente de Negócios Corporativos</w:t>
            </w:r>
            <w:r w:rsidRPr="00AF1885">
              <w:rPr>
                <w:rFonts w:ascii="Calibri" w:eastAsia="Times New Roman" w:hAnsi="Calibri" w:cs="Calibri"/>
                <w:color w:val="000000"/>
                <w:sz w:val="20"/>
                <w:szCs w:val="20"/>
                <w:lang w:eastAsia="pt-BR"/>
              </w:rPr>
              <w:br/>
              <w:t>-Gerente-Geral</w:t>
            </w:r>
            <w:r w:rsidRPr="00AF1885">
              <w:rPr>
                <w:rFonts w:ascii="Calibri" w:eastAsia="Times New Roman" w:hAnsi="Calibri" w:cs="Calibri"/>
                <w:color w:val="000000"/>
                <w:sz w:val="20"/>
                <w:szCs w:val="20"/>
                <w:lang w:eastAsia="pt-BR"/>
              </w:rPr>
              <w:br/>
              <w:t>-Gerente de Negócios</w:t>
            </w:r>
          </w:p>
        </w:tc>
        <w:tc>
          <w:tcPr>
            <w:tcW w:w="1080" w:type="dxa"/>
            <w:tcBorders>
              <w:top w:val="nil"/>
              <w:left w:val="nil"/>
              <w:bottom w:val="single" w:sz="4" w:space="0" w:color="BFBFBF"/>
              <w:right w:val="nil"/>
            </w:tcBorders>
            <w:shd w:val="clear" w:color="000000" w:fill="FFFFFF"/>
            <w:noWrap/>
            <w:vAlign w:val="center"/>
            <w:hideMark/>
          </w:tcPr>
          <w:p w14:paraId="4CB06EB5"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3</w:t>
            </w:r>
          </w:p>
        </w:tc>
        <w:tc>
          <w:tcPr>
            <w:tcW w:w="1520" w:type="dxa"/>
            <w:tcBorders>
              <w:top w:val="nil"/>
              <w:left w:val="nil"/>
              <w:bottom w:val="single" w:sz="4" w:space="0" w:color="BFBFBF"/>
              <w:right w:val="nil"/>
            </w:tcBorders>
            <w:shd w:val="clear" w:color="000000" w:fill="FFFFFF"/>
            <w:noWrap/>
            <w:vAlign w:val="center"/>
            <w:hideMark/>
          </w:tcPr>
          <w:p w14:paraId="2793E388"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8.198,52 </w:t>
            </w:r>
          </w:p>
        </w:tc>
      </w:tr>
      <w:tr w:rsidR="00AF1885" w:rsidRPr="00AF1885" w14:paraId="6F93E16F" w14:textId="77777777" w:rsidTr="00AF1885">
        <w:trPr>
          <w:trHeight w:val="1836"/>
        </w:trPr>
        <w:tc>
          <w:tcPr>
            <w:tcW w:w="3220" w:type="dxa"/>
            <w:tcBorders>
              <w:top w:val="nil"/>
              <w:left w:val="nil"/>
              <w:bottom w:val="single" w:sz="4" w:space="0" w:color="BFBFBF"/>
              <w:right w:val="nil"/>
            </w:tcBorders>
            <w:shd w:val="clear" w:color="000000" w:fill="F2F2F2"/>
            <w:hideMark/>
          </w:tcPr>
          <w:p w14:paraId="00FE4AD3"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Área Comercial</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G</w:t>
            </w:r>
          </w:p>
        </w:tc>
        <w:tc>
          <w:tcPr>
            <w:tcW w:w="3680" w:type="dxa"/>
            <w:tcBorders>
              <w:top w:val="nil"/>
              <w:left w:val="nil"/>
              <w:bottom w:val="single" w:sz="4" w:space="0" w:color="BFBFBF"/>
              <w:right w:val="nil"/>
            </w:tcBorders>
            <w:shd w:val="clear" w:color="000000" w:fill="F2F2F2"/>
            <w:vAlign w:val="center"/>
            <w:hideMark/>
          </w:tcPr>
          <w:p w14:paraId="368938ED"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Adjunto</w:t>
            </w:r>
            <w:r w:rsidRPr="00AF1885">
              <w:rPr>
                <w:rFonts w:ascii="Calibri" w:eastAsia="Times New Roman" w:hAnsi="Calibri" w:cs="Calibri"/>
                <w:color w:val="000000"/>
                <w:sz w:val="20"/>
                <w:szCs w:val="20"/>
                <w:lang w:eastAsia="pt-BR"/>
              </w:rPr>
              <w:br/>
              <w:t>-Gerente Comercial</w:t>
            </w:r>
            <w:r w:rsidRPr="00AF1885">
              <w:rPr>
                <w:rFonts w:ascii="Calibri" w:eastAsia="Times New Roman" w:hAnsi="Calibri" w:cs="Calibri"/>
                <w:color w:val="000000"/>
                <w:sz w:val="20"/>
                <w:szCs w:val="20"/>
                <w:lang w:eastAsia="pt-BR"/>
              </w:rPr>
              <w:br/>
              <w:t>-Gerente de Contas</w:t>
            </w:r>
            <w:r w:rsidRPr="00AF1885">
              <w:rPr>
                <w:rFonts w:ascii="Calibri" w:eastAsia="Times New Roman" w:hAnsi="Calibri" w:cs="Calibri"/>
                <w:color w:val="000000"/>
                <w:sz w:val="20"/>
                <w:szCs w:val="20"/>
                <w:lang w:eastAsia="pt-BR"/>
              </w:rPr>
              <w:br/>
              <w:t>-Gerente de Mercado</w:t>
            </w:r>
            <w:r w:rsidRPr="00AF1885">
              <w:rPr>
                <w:rFonts w:ascii="Calibri" w:eastAsia="Times New Roman" w:hAnsi="Calibri" w:cs="Calibri"/>
                <w:color w:val="000000"/>
                <w:sz w:val="20"/>
                <w:szCs w:val="20"/>
                <w:lang w:eastAsia="pt-BR"/>
              </w:rPr>
              <w:br/>
              <w:t>-Gerente de Negócios</w:t>
            </w:r>
            <w:r w:rsidRPr="00AF1885">
              <w:rPr>
                <w:rFonts w:ascii="Calibri" w:eastAsia="Times New Roman" w:hAnsi="Calibri" w:cs="Calibri"/>
                <w:color w:val="000000"/>
                <w:sz w:val="20"/>
                <w:szCs w:val="20"/>
                <w:lang w:eastAsia="pt-BR"/>
              </w:rPr>
              <w:br/>
              <w:t>-Gerente-Geral</w:t>
            </w:r>
          </w:p>
        </w:tc>
        <w:tc>
          <w:tcPr>
            <w:tcW w:w="1080" w:type="dxa"/>
            <w:tcBorders>
              <w:top w:val="nil"/>
              <w:left w:val="nil"/>
              <w:bottom w:val="single" w:sz="4" w:space="0" w:color="BFBFBF"/>
              <w:right w:val="nil"/>
            </w:tcBorders>
            <w:shd w:val="clear" w:color="000000" w:fill="F2F2F2"/>
            <w:noWrap/>
            <w:vAlign w:val="center"/>
            <w:hideMark/>
          </w:tcPr>
          <w:p w14:paraId="49599F62"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3</w:t>
            </w:r>
          </w:p>
        </w:tc>
        <w:tc>
          <w:tcPr>
            <w:tcW w:w="1520" w:type="dxa"/>
            <w:tcBorders>
              <w:top w:val="nil"/>
              <w:left w:val="nil"/>
              <w:bottom w:val="single" w:sz="4" w:space="0" w:color="BFBFBF"/>
              <w:right w:val="nil"/>
            </w:tcBorders>
            <w:shd w:val="clear" w:color="000000" w:fill="F2F2F2"/>
            <w:noWrap/>
            <w:vAlign w:val="center"/>
            <w:hideMark/>
          </w:tcPr>
          <w:p w14:paraId="0E445C41"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7.254,02 </w:t>
            </w:r>
          </w:p>
        </w:tc>
      </w:tr>
      <w:tr w:rsidR="00AF1885" w:rsidRPr="00AF1885" w14:paraId="436F6F9D" w14:textId="77777777" w:rsidTr="00AF1885">
        <w:trPr>
          <w:trHeight w:val="1380"/>
        </w:trPr>
        <w:tc>
          <w:tcPr>
            <w:tcW w:w="3220" w:type="dxa"/>
            <w:tcBorders>
              <w:top w:val="nil"/>
              <w:left w:val="nil"/>
              <w:bottom w:val="single" w:sz="4" w:space="0" w:color="BFBFBF"/>
              <w:right w:val="nil"/>
            </w:tcBorders>
            <w:shd w:val="clear" w:color="000000" w:fill="FFFFFF"/>
            <w:vAlign w:val="center"/>
            <w:hideMark/>
          </w:tcPr>
          <w:p w14:paraId="173C4587"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Área Comercial</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H</w:t>
            </w:r>
          </w:p>
        </w:tc>
        <w:tc>
          <w:tcPr>
            <w:tcW w:w="3680" w:type="dxa"/>
            <w:tcBorders>
              <w:top w:val="nil"/>
              <w:left w:val="nil"/>
              <w:bottom w:val="single" w:sz="4" w:space="0" w:color="BFBFBF"/>
              <w:right w:val="nil"/>
            </w:tcBorders>
            <w:shd w:val="clear" w:color="000000" w:fill="FFFFFF"/>
            <w:vAlign w:val="center"/>
            <w:hideMark/>
          </w:tcPr>
          <w:p w14:paraId="7E441C96"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Adjunto</w:t>
            </w:r>
            <w:r w:rsidRPr="00AF1885">
              <w:rPr>
                <w:rFonts w:ascii="Calibri" w:eastAsia="Times New Roman" w:hAnsi="Calibri" w:cs="Calibri"/>
                <w:color w:val="000000"/>
                <w:sz w:val="20"/>
                <w:szCs w:val="20"/>
                <w:lang w:eastAsia="pt-BR"/>
              </w:rPr>
              <w:br/>
              <w:t>-Gerente de Contas</w:t>
            </w:r>
            <w:r w:rsidRPr="00AF1885">
              <w:rPr>
                <w:rFonts w:ascii="Calibri" w:eastAsia="Times New Roman" w:hAnsi="Calibri" w:cs="Calibri"/>
                <w:color w:val="000000"/>
                <w:sz w:val="20"/>
                <w:szCs w:val="20"/>
                <w:lang w:eastAsia="pt-BR"/>
              </w:rPr>
              <w:br/>
              <w:t>-Gerente de Mercado</w:t>
            </w:r>
            <w:r w:rsidRPr="00AF1885">
              <w:rPr>
                <w:rFonts w:ascii="Calibri" w:eastAsia="Times New Roman" w:hAnsi="Calibri" w:cs="Calibri"/>
                <w:color w:val="000000"/>
                <w:sz w:val="20"/>
                <w:szCs w:val="20"/>
                <w:lang w:eastAsia="pt-BR"/>
              </w:rPr>
              <w:br/>
              <w:t>-Gerente de Negócios</w:t>
            </w:r>
            <w:r w:rsidRPr="00AF1885">
              <w:rPr>
                <w:rFonts w:ascii="Calibri" w:eastAsia="Times New Roman" w:hAnsi="Calibri" w:cs="Calibri"/>
                <w:color w:val="000000"/>
                <w:sz w:val="20"/>
                <w:szCs w:val="20"/>
                <w:lang w:eastAsia="pt-BR"/>
              </w:rPr>
              <w:br/>
              <w:t>-Gerente de Relacionamento Agro</w:t>
            </w:r>
          </w:p>
        </w:tc>
        <w:tc>
          <w:tcPr>
            <w:tcW w:w="1080" w:type="dxa"/>
            <w:tcBorders>
              <w:top w:val="nil"/>
              <w:left w:val="nil"/>
              <w:bottom w:val="single" w:sz="4" w:space="0" w:color="BFBFBF"/>
              <w:right w:val="nil"/>
            </w:tcBorders>
            <w:shd w:val="clear" w:color="000000" w:fill="FFFFFF"/>
            <w:noWrap/>
            <w:vAlign w:val="center"/>
            <w:hideMark/>
          </w:tcPr>
          <w:p w14:paraId="1609B0D0"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3</w:t>
            </w:r>
          </w:p>
        </w:tc>
        <w:tc>
          <w:tcPr>
            <w:tcW w:w="1520" w:type="dxa"/>
            <w:tcBorders>
              <w:top w:val="nil"/>
              <w:left w:val="nil"/>
              <w:bottom w:val="single" w:sz="4" w:space="0" w:color="BFBFBF"/>
              <w:right w:val="nil"/>
            </w:tcBorders>
            <w:shd w:val="clear" w:color="000000" w:fill="FFFFFF"/>
            <w:noWrap/>
            <w:vAlign w:val="center"/>
            <w:hideMark/>
          </w:tcPr>
          <w:p w14:paraId="0CD0DB08"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6.005,69 </w:t>
            </w:r>
          </w:p>
        </w:tc>
      </w:tr>
      <w:tr w:rsidR="00AF1885" w:rsidRPr="00AF1885" w14:paraId="099978F0" w14:textId="77777777" w:rsidTr="00AF1885">
        <w:trPr>
          <w:trHeight w:val="480"/>
        </w:trPr>
        <w:tc>
          <w:tcPr>
            <w:tcW w:w="3220" w:type="dxa"/>
            <w:tcBorders>
              <w:top w:val="nil"/>
              <w:left w:val="nil"/>
              <w:bottom w:val="single" w:sz="4" w:space="0" w:color="BFBFBF"/>
              <w:right w:val="nil"/>
            </w:tcBorders>
            <w:shd w:val="clear" w:color="000000" w:fill="F2F2F2"/>
            <w:vAlign w:val="center"/>
            <w:hideMark/>
          </w:tcPr>
          <w:p w14:paraId="2519AC3C"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Supervisor </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F</w:t>
            </w:r>
          </w:p>
        </w:tc>
        <w:tc>
          <w:tcPr>
            <w:tcW w:w="3680" w:type="dxa"/>
            <w:tcBorders>
              <w:top w:val="nil"/>
              <w:left w:val="nil"/>
              <w:bottom w:val="single" w:sz="4" w:space="0" w:color="BFBFBF"/>
              <w:right w:val="nil"/>
            </w:tcBorders>
            <w:shd w:val="clear" w:color="000000" w:fill="F2F2F2"/>
            <w:vAlign w:val="center"/>
            <w:hideMark/>
          </w:tcPr>
          <w:p w14:paraId="64F1373C"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-Supervisor</w:t>
            </w:r>
          </w:p>
        </w:tc>
        <w:tc>
          <w:tcPr>
            <w:tcW w:w="1080" w:type="dxa"/>
            <w:tcBorders>
              <w:top w:val="nil"/>
              <w:left w:val="nil"/>
              <w:bottom w:val="single" w:sz="4" w:space="0" w:color="BFBFBF"/>
              <w:right w:val="nil"/>
            </w:tcBorders>
            <w:shd w:val="clear" w:color="000000" w:fill="F2F2F2"/>
            <w:noWrap/>
            <w:vAlign w:val="center"/>
            <w:hideMark/>
          </w:tcPr>
          <w:p w14:paraId="14E0F6E7"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2</w:t>
            </w:r>
          </w:p>
        </w:tc>
        <w:tc>
          <w:tcPr>
            <w:tcW w:w="1520" w:type="dxa"/>
            <w:tcBorders>
              <w:top w:val="nil"/>
              <w:left w:val="nil"/>
              <w:bottom w:val="single" w:sz="4" w:space="0" w:color="BFBFBF"/>
              <w:right w:val="nil"/>
            </w:tcBorders>
            <w:shd w:val="clear" w:color="000000" w:fill="F2F2F2"/>
            <w:noWrap/>
            <w:vAlign w:val="center"/>
            <w:hideMark/>
          </w:tcPr>
          <w:p w14:paraId="156CCA4C"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8.198,52 </w:t>
            </w:r>
          </w:p>
        </w:tc>
      </w:tr>
      <w:tr w:rsidR="00AF1885" w:rsidRPr="00AF1885" w14:paraId="4784B08F" w14:textId="77777777" w:rsidTr="00AF1885">
        <w:trPr>
          <w:trHeight w:val="480"/>
        </w:trPr>
        <w:tc>
          <w:tcPr>
            <w:tcW w:w="3220" w:type="dxa"/>
            <w:tcBorders>
              <w:top w:val="nil"/>
              <w:left w:val="nil"/>
              <w:bottom w:val="single" w:sz="4" w:space="0" w:color="BFBFBF"/>
              <w:right w:val="nil"/>
            </w:tcBorders>
            <w:shd w:val="clear" w:color="000000" w:fill="FFFFFF"/>
            <w:vAlign w:val="center"/>
            <w:hideMark/>
          </w:tcPr>
          <w:p w14:paraId="5FC152EC"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Supervisor</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G</w:t>
            </w:r>
          </w:p>
        </w:tc>
        <w:tc>
          <w:tcPr>
            <w:tcW w:w="3680" w:type="dxa"/>
            <w:tcBorders>
              <w:top w:val="nil"/>
              <w:left w:val="nil"/>
              <w:bottom w:val="single" w:sz="4" w:space="0" w:color="BFBFBF"/>
              <w:right w:val="nil"/>
            </w:tcBorders>
            <w:shd w:val="clear" w:color="000000" w:fill="FFFFFF"/>
            <w:vAlign w:val="center"/>
            <w:hideMark/>
          </w:tcPr>
          <w:p w14:paraId="1697095E"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-Supervisor</w:t>
            </w:r>
          </w:p>
        </w:tc>
        <w:tc>
          <w:tcPr>
            <w:tcW w:w="1080" w:type="dxa"/>
            <w:tcBorders>
              <w:top w:val="nil"/>
              <w:left w:val="nil"/>
              <w:bottom w:val="single" w:sz="4" w:space="0" w:color="BFBFBF"/>
              <w:right w:val="nil"/>
            </w:tcBorders>
            <w:shd w:val="clear" w:color="000000" w:fill="FFFFFF"/>
            <w:noWrap/>
            <w:vAlign w:val="center"/>
            <w:hideMark/>
          </w:tcPr>
          <w:p w14:paraId="3B4F28A0"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2</w:t>
            </w:r>
          </w:p>
        </w:tc>
        <w:tc>
          <w:tcPr>
            <w:tcW w:w="1520" w:type="dxa"/>
            <w:tcBorders>
              <w:top w:val="nil"/>
              <w:left w:val="nil"/>
              <w:bottom w:val="single" w:sz="4" w:space="0" w:color="BFBFBF"/>
              <w:right w:val="nil"/>
            </w:tcBorders>
            <w:shd w:val="clear" w:color="000000" w:fill="FFFFFF"/>
            <w:noWrap/>
            <w:vAlign w:val="center"/>
            <w:hideMark/>
          </w:tcPr>
          <w:p w14:paraId="66D654EB"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7.254,02 </w:t>
            </w:r>
          </w:p>
        </w:tc>
      </w:tr>
      <w:tr w:rsidR="00AF1885" w:rsidRPr="00AF1885" w14:paraId="4B3204B8" w14:textId="77777777" w:rsidTr="00AF1885">
        <w:trPr>
          <w:trHeight w:val="480"/>
        </w:trPr>
        <w:tc>
          <w:tcPr>
            <w:tcW w:w="3220" w:type="dxa"/>
            <w:tcBorders>
              <w:top w:val="nil"/>
              <w:left w:val="nil"/>
              <w:bottom w:val="single" w:sz="4" w:space="0" w:color="BFBFBF"/>
              <w:right w:val="nil"/>
            </w:tcBorders>
            <w:shd w:val="clear" w:color="000000" w:fill="F2F2F2"/>
            <w:vAlign w:val="center"/>
            <w:hideMark/>
          </w:tcPr>
          <w:p w14:paraId="48763B16"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Supervisor</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H</w:t>
            </w:r>
          </w:p>
        </w:tc>
        <w:tc>
          <w:tcPr>
            <w:tcW w:w="3680" w:type="dxa"/>
            <w:tcBorders>
              <w:top w:val="nil"/>
              <w:left w:val="nil"/>
              <w:bottom w:val="single" w:sz="4" w:space="0" w:color="BFBFBF"/>
              <w:right w:val="nil"/>
            </w:tcBorders>
            <w:shd w:val="clear" w:color="000000" w:fill="F2F2F2"/>
            <w:vAlign w:val="center"/>
            <w:hideMark/>
          </w:tcPr>
          <w:p w14:paraId="7AC58C5C"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-Supervisor</w:t>
            </w:r>
          </w:p>
        </w:tc>
        <w:tc>
          <w:tcPr>
            <w:tcW w:w="1080" w:type="dxa"/>
            <w:tcBorders>
              <w:top w:val="nil"/>
              <w:left w:val="nil"/>
              <w:bottom w:val="single" w:sz="4" w:space="0" w:color="BFBFBF"/>
              <w:right w:val="nil"/>
            </w:tcBorders>
            <w:shd w:val="clear" w:color="000000" w:fill="F2F2F2"/>
            <w:noWrap/>
            <w:vAlign w:val="center"/>
            <w:hideMark/>
          </w:tcPr>
          <w:p w14:paraId="07A6AFAB"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2</w:t>
            </w:r>
          </w:p>
        </w:tc>
        <w:tc>
          <w:tcPr>
            <w:tcW w:w="1520" w:type="dxa"/>
            <w:tcBorders>
              <w:top w:val="nil"/>
              <w:left w:val="nil"/>
              <w:bottom w:val="single" w:sz="4" w:space="0" w:color="BFBFBF"/>
              <w:right w:val="nil"/>
            </w:tcBorders>
            <w:shd w:val="clear" w:color="000000" w:fill="F2F2F2"/>
            <w:noWrap/>
            <w:vAlign w:val="center"/>
            <w:hideMark/>
          </w:tcPr>
          <w:p w14:paraId="20ADEB8B"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6.005,69 </w:t>
            </w:r>
          </w:p>
        </w:tc>
      </w:tr>
      <w:tr w:rsidR="00AF1885" w:rsidRPr="00AF1885" w14:paraId="1D044754" w14:textId="77777777" w:rsidTr="00AF1885">
        <w:trPr>
          <w:trHeight w:val="372"/>
        </w:trPr>
        <w:tc>
          <w:tcPr>
            <w:tcW w:w="3220" w:type="dxa"/>
            <w:tcBorders>
              <w:top w:val="nil"/>
              <w:left w:val="nil"/>
              <w:bottom w:val="single" w:sz="4" w:space="0" w:color="BFBFBF"/>
              <w:right w:val="nil"/>
            </w:tcBorders>
            <w:shd w:val="clear" w:color="000000" w:fill="FFFFFF"/>
            <w:vAlign w:val="center"/>
            <w:hideMark/>
          </w:tcPr>
          <w:p w14:paraId="58EBDCC9"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Operador de Negócios</w:t>
            </w:r>
          </w:p>
        </w:tc>
        <w:tc>
          <w:tcPr>
            <w:tcW w:w="3680" w:type="dxa"/>
            <w:tcBorders>
              <w:top w:val="nil"/>
              <w:left w:val="nil"/>
              <w:bottom w:val="single" w:sz="4" w:space="0" w:color="BFBFBF"/>
              <w:right w:val="nil"/>
            </w:tcBorders>
            <w:shd w:val="clear" w:color="000000" w:fill="FFFFFF"/>
            <w:vAlign w:val="center"/>
            <w:hideMark/>
          </w:tcPr>
          <w:p w14:paraId="6B81F1F8"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-Operador de Negócios</w:t>
            </w:r>
          </w:p>
        </w:tc>
        <w:tc>
          <w:tcPr>
            <w:tcW w:w="1080" w:type="dxa"/>
            <w:tcBorders>
              <w:top w:val="nil"/>
              <w:left w:val="nil"/>
              <w:bottom w:val="single" w:sz="4" w:space="0" w:color="BFBFBF"/>
              <w:right w:val="nil"/>
            </w:tcBorders>
            <w:shd w:val="clear" w:color="000000" w:fill="FFFFFF"/>
            <w:noWrap/>
            <w:vAlign w:val="center"/>
            <w:hideMark/>
          </w:tcPr>
          <w:p w14:paraId="732CA6F5"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3</w:t>
            </w:r>
          </w:p>
        </w:tc>
        <w:tc>
          <w:tcPr>
            <w:tcW w:w="1520" w:type="dxa"/>
            <w:tcBorders>
              <w:top w:val="nil"/>
              <w:left w:val="nil"/>
              <w:bottom w:val="single" w:sz="4" w:space="0" w:color="BFBFBF"/>
              <w:right w:val="nil"/>
            </w:tcBorders>
            <w:shd w:val="clear" w:color="000000" w:fill="FFFFFF"/>
            <w:noWrap/>
            <w:vAlign w:val="center"/>
            <w:hideMark/>
          </w:tcPr>
          <w:p w14:paraId="130E0C8D" w14:textId="269FE9DA"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5.053,2</w:t>
            </w:r>
            <w:r w:rsidR="000416A5">
              <w:rPr>
                <w:rFonts w:ascii="Calibri" w:eastAsia="Times New Roman" w:hAnsi="Calibri" w:cs="Calibri"/>
                <w:color w:val="000000"/>
                <w:sz w:val="20"/>
                <w:szCs w:val="20"/>
                <w:lang w:eastAsia="pt-BR"/>
              </w:rPr>
              <w:t>1</w:t>
            </w:r>
            <w:r w:rsidRPr="00AF1885">
              <w:rPr>
                <w:rFonts w:ascii="Calibri" w:eastAsia="Times New Roman" w:hAnsi="Calibri" w:cs="Calibri"/>
                <w:color w:val="000000"/>
                <w:sz w:val="20"/>
                <w:szCs w:val="20"/>
                <w:lang w:eastAsia="pt-BR"/>
              </w:rPr>
              <w:t xml:space="preserve"> </w:t>
            </w:r>
          </w:p>
        </w:tc>
      </w:tr>
      <w:tr w:rsidR="00AF1885" w:rsidRPr="00AF1885" w14:paraId="434D6C77" w14:textId="77777777" w:rsidTr="00AF1885">
        <w:trPr>
          <w:trHeight w:val="288"/>
        </w:trPr>
        <w:tc>
          <w:tcPr>
            <w:tcW w:w="3220" w:type="dxa"/>
            <w:tcBorders>
              <w:top w:val="nil"/>
              <w:left w:val="nil"/>
              <w:bottom w:val="single" w:sz="4" w:space="0" w:color="BFBFBF"/>
              <w:right w:val="nil"/>
            </w:tcBorders>
            <w:shd w:val="clear" w:color="000000" w:fill="F2F2F2"/>
            <w:vAlign w:val="center"/>
            <w:hideMark/>
          </w:tcPr>
          <w:p w14:paraId="48312DA5"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Especializadas B</w:t>
            </w:r>
          </w:p>
        </w:tc>
        <w:tc>
          <w:tcPr>
            <w:tcW w:w="3680" w:type="dxa"/>
            <w:tcBorders>
              <w:top w:val="nil"/>
              <w:left w:val="nil"/>
              <w:bottom w:val="single" w:sz="4" w:space="0" w:color="BFBFBF"/>
              <w:right w:val="nil"/>
            </w:tcBorders>
            <w:shd w:val="clear" w:color="000000" w:fill="F2F2F2"/>
            <w:vAlign w:val="center"/>
            <w:hideMark/>
          </w:tcPr>
          <w:p w14:paraId="21B0DB66"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Gerente de Câmbio</w:t>
            </w:r>
          </w:p>
        </w:tc>
        <w:tc>
          <w:tcPr>
            <w:tcW w:w="1080" w:type="dxa"/>
            <w:tcBorders>
              <w:top w:val="nil"/>
              <w:left w:val="nil"/>
              <w:bottom w:val="single" w:sz="4" w:space="0" w:color="BFBFBF"/>
              <w:right w:val="nil"/>
            </w:tcBorders>
            <w:shd w:val="clear" w:color="000000" w:fill="F2F2F2"/>
            <w:noWrap/>
            <w:vAlign w:val="center"/>
            <w:hideMark/>
          </w:tcPr>
          <w:p w14:paraId="18DDA456"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2</w:t>
            </w:r>
          </w:p>
        </w:tc>
        <w:tc>
          <w:tcPr>
            <w:tcW w:w="1520" w:type="dxa"/>
            <w:tcBorders>
              <w:top w:val="nil"/>
              <w:left w:val="nil"/>
              <w:bottom w:val="single" w:sz="4" w:space="0" w:color="BFBFBF"/>
              <w:right w:val="nil"/>
            </w:tcBorders>
            <w:shd w:val="clear" w:color="000000" w:fill="F2F2F2"/>
            <w:noWrap/>
            <w:vAlign w:val="center"/>
            <w:hideMark/>
          </w:tcPr>
          <w:p w14:paraId="09F62746"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16.804,18 </w:t>
            </w:r>
          </w:p>
        </w:tc>
      </w:tr>
      <w:tr w:rsidR="00AF1885" w:rsidRPr="00AF1885" w14:paraId="5B702D1C" w14:textId="77777777" w:rsidTr="00AF1885">
        <w:trPr>
          <w:trHeight w:val="828"/>
        </w:trPr>
        <w:tc>
          <w:tcPr>
            <w:tcW w:w="3220" w:type="dxa"/>
            <w:tcBorders>
              <w:top w:val="nil"/>
              <w:left w:val="nil"/>
              <w:bottom w:val="single" w:sz="4" w:space="0" w:color="BFBFBF"/>
              <w:right w:val="nil"/>
            </w:tcBorders>
            <w:shd w:val="clear" w:color="000000" w:fill="FFFFFF"/>
            <w:vAlign w:val="center"/>
            <w:hideMark/>
          </w:tcPr>
          <w:p w14:paraId="0C46E860"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Especializadas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C</w:t>
            </w:r>
          </w:p>
        </w:tc>
        <w:tc>
          <w:tcPr>
            <w:tcW w:w="3680" w:type="dxa"/>
            <w:tcBorders>
              <w:top w:val="nil"/>
              <w:left w:val="nil"/>
              <w:bottom w:val="single" w:sz="4" w:space="0" w:color="BFBFBF"/>
              <w:right w:val="nil"/>
            </w:tcBorders>
            <w:shd w:val="clear" w:color="000000" w:fill="FFFFFF"/>
            <w:vAlign w:val="center"/>
            <w:hideMark/>
          </w:tcPr>
          <w:p w14:paraId="174D67DF"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de Câmbio</w:t>
            </w:r>
            <w:r w:rsidRPr="00AF1885">
              <w:rPr>
                <w:rFonts w:ascii="Calibri" w:eastAsia="Times New Roman" w:hAnsi="Calibri" w:cs="Calibri"/>
                <w:color w:val="000000"/>
                <w:sz w:val="20"/>
                <w:szCs w:val="20"/>
                <w:lang w:eastAsia="pt-BR"/>
              </w:rPr>
              <w:br/>
              <w:t>-Gerente de Equipe de Cobrança</w:t>
            </w:r>
            <w:r w:rsidRPr="00AF1885">
              <w:rPr>
                <w:rFonts w:ascii="Calibri" w:eastAsia="Times New Roman" w:hAnsi="Calibri" w:cs="Calibri"/>
                <w:color w:val="000000"/>
                <w:sz w:val="20"/>
                <w:szCs w:val="20"/>
                <w:lang w:eastAsia="pt-BR"/>
              </w:rPr>
              <w:br/>
              <w:t>-Gerente de Negócios de Governos</w:t>
            </w:r>
          </w:p>
        </w:tc>
        <w:tc>
          <w:tcPr>
            <w:tcW w:w="1080" w:type="dxa"/>
            <w:tcBorders>
              <w:top w:val="nil"/>
              <w:left w:val="nil"/>
              <w:bottom w:val="single" w:sz="4" w:space="0" w:color="BFBFBF"/>
              <w:right w:val="nil"/>
            </w:tcBorders>
            <w:shd w:val="clear" w:color="000000" w:fill="FFFFFF"/>
            <w:noWrap/>
            <w:vAlign w:val="center"/>
            <w:hideMark/>
          </w:tcPr>
          <w:p w14:paraId="0F9683F2"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2</w:t>
            </w:r>
          </w:p>
        </w:tc>
        <w:tc>
          <w:tcPr>
            <w:tcW w:w="1520" w:type="dxa"/>
            <w:tcBorders>
              <w:top w:val="nil"/>
              <w:left w:val="nil"/>
              <w:bottom w:val="single" w:sz="4" w:space="0" w:color="BFBFBF"/>
              <w:right w:val="nil"/>
            </w:tcBorders>
            <w:shd w:val="clear" w:color="000000" w:fill="FFFFFF"/>
            <w:noWrap/>
            <w:vAlign w:val="center"/>
            <w:hideMark/>
          </w:tcPr>
          <w:p w14:paraId="1C509BA8" w14:textId="74C8F9DF"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13.369,7</w:t>
            </w:r>
            <w:r w:rsidR="000416A5">
              <w:rPr>
                <w:rFonts w:ascii="Calibri" w:eastAsia="Times New Roman" w:hAnsi="Calibri" w:cs="Calibri"/>
                <w:color w:val="000000"/>
                <w:sz w:val="20"/>
                <w:szCs w:val="20"/>
                <w:lang w:eastAsia="pt-BR"/>
              </w:rPr>
              <w:t>3</w:t>
            </w:r>
            <w:r w:rsidRPr="00AF1885">
              <w:rPr>
                <w:rFonts w:ascii="Calibri" w:eastAsia="Times New Roman" w:hAnsi="Calibri" w:cs="Calibri"/>
                <w:color w:val="000000"/>
                <w:sz w:val="20"/>
                <w:szCs w:val="20"/>
                <w:lang w:eastAsia="pt-BR"/>
              </w:rPr>
              <w:t xml:space="preserve"> </w:t>
            </w:r>
          </w:p>
        </w:tc>
      </w:tr>
      <w:tr w:rsidR="00AF1885" w:rsidRPr="00AF1885" w14:paraId="14F5753E" w14:textId="77777777" w:rsidTr="00AF1885">
        <w:trPr>
          <w:trHeight w:val="828"/>
        </w:trPr>
        <w:tc>
          <w:tcPr>
            <w:tcW w:w="3220" w:type="dxa"/>
            <w:tcBorders>
              <w:top w:val="nil"/>
              <w:left w:val="nil"/>
              <w:bottom w:val="single" w:sz="4" w:space="0" w:color="BFBFBF"/>
              <w:right w:val="nil"/>
            </w:tcBorders>
            <w:shd w:val="clear" w:color="000000" w:fill="F2F2F2"/>
            <w:vAlign w:val="center"/>
            <w:hideMark/>
          </w:tcPr>
          <w:p w14:paraId="797F6409"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Especializadas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D</w:t>
            </w:r>
          </w:p>
        </w:tc>
        <w:tc>
          <w:tcPr>
            <w:tcW w:w="3680" w:type="dxa"/>
            <w:tcBorders>
              <w:top w:val="nil"/>
              <w:left w:val="nil"/>
              <w:bottom w:val="single" w:sz="4" w:space="0" w:color="BFBFBF"/>
              <w:right w:val="nil"/>
            </w:tcBorders>
            <w:shd w:val="clear" w:color="000000" w:fill="F2F2F2"/>
            <w:vAlign w:val="center"/>
            <w:hideMark/>
          </w:tcPr>
          <w:p w14:paraId="272D9772"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de Câmbio</w:t>
            </w:r>
            <w:r w:rsidRPr="00AF1885">
              <w:rPr>
                <w:rFonts w:ascii="Calibri" w:eastAsia="Times New Roman" w:hAnsi="Calibri" w:cs="Calibri"/>
                <w:color w:val="000000"/>
                <w:sz w:val="20"/>
                <w:szCs w:val="20"/>
                <w:lang w:eastAsia="pt-BR"/>
              </w:rPr>
              <w:br/>
              <w:t>-Gerente de Equipe de Cobrança</w:t>
            </w:r>
            <w:r w:rsidRPr="00AF1885">
              <w:rPr>
                <w:rFonts w:ascii="Calibri" w:eastAsia="Times New Roman" w:hAnsi="Calibri" w:cs="Calibri"/>
                <w:color w:val="000000"/>
                <w:sz w:val="20"/>
                <w:szCs w:val="20"/>
                <w:lang w:eastAsia="pt-BR"/>
              </w:rPr>
              <w:br/>
              <w:t>-Gerente de Negócios de Governos</w:t>
            </w:r>
          </w:p>
        </w:tc>
        <w:tc>
          <w:tcPr>
            <w:tcW w:w="1080" w:type="dxa"/>
            <w:tcBorders>
              <w:top w:val="nil"/>
              <w:left w:val="nil"/>
              <w:bottom w:val="single" w:sz="4" w:space="0" w:color="BFBFBF"/>
              <w:right w:val="nil"/>
            </w:tcBorders>
            <w:shd w:val="clear" w:color="000000" w:fill="F2F2F2"/>
            <w:noWrap/>
            <w:vAlign w:val="center"/>
            <w:hideMark/>
          </w:tcPr>
          <w:p w14:paraId="1B17B2BA"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2</w:t>
            </w:r>
          </w:p>
        </w:tc>
        <w:tc>
          <w:tcPr>
            <w:tcW w:w="1520" w:type="dxa"/>
            <w:tcBorders>
              <w:top w:val="nil"/>
              <w:left w:val="nil"/>
              <w:bottom w:val="single" w:sz="4" w:space="0" w:color="BFBFBF"/>
              <w:right w:val="nil"/>
            </w:tcBorders>
            <w:shd w:val="clear" w:color="000000" w:fill="F2F2F2"/>
            <w:noWrap/>
            <w:vAlign w:val="center"/>
            <w:hideMark/>
          </w:tcPr>
          <w:p w14:paraId="773059E4" w14:textId="35E7C193"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11.022,3</w:t>
            </w:r>
            <w:r w:rsidR="000416A5">
              <w:rPr>
                <w:rFonts w:ascii="Calibri" w:eastAsia="Times New Roman" w:hAnsi="Calibri" w:cs="Calibri"/>
                <w:color w:val="000000"/>
                <w:sz w:val="20"/>
                <w:szCs w:val="20"/>
                <w:lang w:eastAsia="pt-BR"/>
              </w:rPr>
              <w:t>5</w:t>
            </w:r>
            <w:r w:rsidRPr="00AF1885">
              <w:rPr>
                <w:rFonts w:ascii="Calibri" w:eastAsia="Times New Roman" w:hAnsi="Calibri" w:cs="Calibri"/>
                <w:color w:val="000000"/>
                <w:sz w:val="20"/>
                <w:szCs w:val="20"/>
                <w:lang w:eastAsia="pt-BR"/>
              </w:rPr>
              <w:t xml:space="preserve"> </w:t>
            </w:r>
          </w:p>
        </w:tc>
      </w:tr>
      <w:tr w:rsidR="00AF1885" w:rsidRPr="00AF1885" w14:paraId="69349140" w14:textId="77777777" w:rsidTr="00AF1885">
        <w:trPr>
          <w:trHeight w:val="960"/>
        </w:trPr>
        <w:tc>
          <w:tcPr>
            <w:tcW w:w="3220" w:type="dxa"/>
            <w:tcBorders>
              <w:top w:val="nil"/>
              <w:left w:val="nil"/>
              <w:bottom w:val="single" w:sz="4" w:space="0" w:color="BFBFBF"/>
              <w:right w:val="nil"/>
            </w:tcBorders>
            <w:shd w:val="clear" w:color="000000" w:fill="FFFFFF"/>
            <w:vAlign w:val="center"/>
            <w:hideMark/>
          </w:tcPr>
          <w:p w14:paraId="279F9747"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Especializadas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E</w:t>
            </w:r>
          </w:p>
        </w:tc>
        <w:tc>
          <w:tcPr>
            <w:tcW w:w="3680" w:type="dxa"/>
            <w:tcBorders>
              <w:top w:val="nil"/>
              <w:left w:val="nil"/>
              <w:bottom w:val="single" w:sz="4" w:space="0" w:color="BFBFBF"/>
              <w:right w:val="nil"/>
            </w:tcBorders>
            <w:shd w:val="clear" w:color="000000" w:fill="FFFFFF"/>
            <w:vAlign w:val="center"/>
            <w:hideMark/>
          </w:tcPr>
          <w:p w14:paraId="307B4AC6"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de Agronegócios</w:t>
            </w:r>
            <w:r w:rsidRPr="00AF1885">
              <w:rPr>
                <w:rFonts w:ascii="Calibri" w:eastAsia="Times New Roman" w:hAnsi="Calibri" w:cs="Calibri"/>
                <w:color w:val="000000"/>
                <w:sz w:val="20"/>
                <w:szCs w:val="20"/>
                <w:lang w:eastAsia="pt-BR"/>
              </w:rPr>
              <w:br/>
              <w:t>-Gerente de Equipe de Cobrança</w:t>
            </w:r>
            <w:r w:rsidRPr="00AF1885">
              <w:rPr>
                <w:rFonts w:ascii="Calibri" w:eastAsia="Times New Roman" w:hAnsi="Calibri" w:cs="Calibri"/>
                <w:color w:val="000000"/>
                <w:sz w:val="20"/>
                <w:szCs w:val="20"/>
                <w:lang w:eastAsia="pt-BR"/>
              </w:rPr>
              <w:br/>
              <w:t>-Gerente de Negócios de Governos</w:t>
            </w:r>
          </w:p>
        </w:tc>
        <w:tc>
          <w:tcPr>
            <w:tcW w:w="1080" w:type="dxa"/>
            <w:tcBorders>
              <w:top w:val="nil"/>
              <w:left w:val="nil"/>
              <w:bottom w:val="single" w:sz="4" w:space="0" w:color="BFBFBF"/>
              <w:right w:val="nil"/>
            </w:tcBorders>
            <w:shd w:val="clear" w:color="000000" w:fill="FFFFFF"/>
            <w:noWrap/>
            <w:vAlign w:val="center"/>
            <w:hideMark/>
          </w:tcPr>
          <w:p w14:paraId="04F04874"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2</w:t>
            </w:r>
          </w:p>
        </w:tc>
        <w:tc>
          <w:tcPr>
            <w:tcW w:w="1520" w:type="dxa"/>
            <w:tcBorders>
              <w:top w:val="nil"/>
              <w:left w:val="nil"/>
              <w:bottom w:val="single" w:sz="4" w:space="0" w:color="BFBFBF"/>
              <w:right w:val="nil"/>
            </w:tcBorders>
            <w:shd w:val="clear" w:color="000000" w:fill="FFFFFF"/>
            <w:noWrap/>
            <w:vAlign w:val="center"/>
            <w:hideMark/>
          </w:tcPr>
          <w:p w14:paraId="1118384D"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9.402,99 </w:t>
            </w:r>
          </w:p>
        </w:tc>
      </w:tr>
      <w:tr w:rsidR="00AF1885" w:rsidRPr="00AF1885" w14:paraId="519621B5" w14:textId="77777777" w:rsidTr="00AF1885">
        <w:trPr>
          <w:trHeight w:val="828"/>
        </w:trPr>
        <w:tc>
          <w:tcPr>
            <w:tcW w:w="3220" w:type="dxa"/>
            <w:tcBorders>
              <w:top w:val="nil"/>
              <w:left w:val="nil"/>
              <w:bottom w:val="single" w:sz="4" w:space="0" w:color="BFBFBF"/>
              <w:right w:val="nil"/>
            </w:tcBorders>
            <w:shd w:val="clear" w:color="000000" w:fill="F2F2F2"/>
            <w:vAlign w:val="center"/>
            <w:hideMark/>
          </w:tcPr>
          <w:p w14:paraId="20B535B2"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Especializadas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F</w:t>
            </w:r>
          </w:p>
        </w:tc>
        <w:tc>
          <w:tcPr>
            <w:tcW w:w="3680" w:type="dxa"/>
            <w:tcBorders>
              <w:top w:val="nil"/>
              <w:left w:val="nil"/>
              <w:bottom w:val="single" w:sz="4" w:space="0" w:color="BFBFBF"/>
              <w:right w:val="nil"/>
            </w:tcBorders>
            <w:shd w:val="clear" w:color="000000" w:fill="F2F2F2"/>
            <w:vAlign w:val="center"/>
            <w:hideMark/>
          </w:tcPr>
          <w:p w14:paraId="62D9A14A"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de Agronegócios</w:t>
            </w:r>
            <w:r w:rsidRPr="00AF1885">
              <w:rPr>
                <w:rFonts w:ascii="Calibri" w:eastAsia="Times New Roman" w:hAnsi="Calibri" w:cs="Calibri"/>
                <w:color w:val="000000"/>
                <w:sz w:val="20"/>
                <w:szCs w:val="20"/>
                <w:lang w:eastAsia="pt-BR"/>
              </w:rPr>
              <w:br/>
              <w:t>-Gerente de Equipe de Cobrança</w:t>
            </w:r>
            <w:r w:rsidRPr="00AF1885">
              <w:rPr>
                <w:rFonts w:ascii="Calibri" w:eastAsia="Times New Roman" w:hAnsi="Calibri" w:cs="Calibri"/>
                <w:color w:val="000000"/>
                <w:sz w:val="20"/>
                <w:szCs w:val="20"/>
                <w:lang w:eastAsia="pt-BR"/>
              </w:rPr>
              <w:br/>
              <w:t>-Gerente de Negócios de Governos</w:t>
            </w:r>
          </w:p>
        </w:tc>
        <w:tc>
          <w:tcPr>
            <w:tcW w:w="1080" w:type="dxa"/>
            <w:tcBorders>
              <w:top w:val="nil"/>
              <w:left w:val="nil"/>
              <w:bottom w:val="single" w:sz="4" w:space="0" w:color="BFBFBF"/>
              <w:right w:val="nil"/>
            </w:tcBorders>
            <w:shd w:val="clear" w:color="000000" w:fill="F2F2F2"/>
            <w:noWrap/>
            <w:vAlign w:val="center"/>
            <w:hideMark/>
          </w:tcPr>
          <w:p w14:paraId="520D737E"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2</w:t>
            </w:r>
          </w:p>
        </w:tc>
        <w:tc>
          <w:tcPr>
            <w:tcW w:w="1520" w:type="dxa"/>
            <w:tcBorders>
              <w:top w:val="nil"/>
              <w:left w:val="nil"/>
              <w:bottom w:val="single" w:sz="4" w:space="0" w:color="BFBFBF"/>
              <w:right w:val="nil"/>
            </w:tcBorders>
            <w:shd w:val="clear" w:color="000000" w:fill="F2F2F2"/>
            <w:noWrap/>
            <w:vAlign w:val="center"/>
            <w:hideMark/>
          </w:tcPr>
          <w:p w14:paraId="691479EB"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8.198,52 </w:t>
            </w:r>
          </w:p>
        </w:tc>
      </w:tr>
      <w:tr w:rsidR="00AF1885" w:rsidRPr="00AF1885" w14:paraId="4B202788" w14:textId="77777777" w:rsidTr="00AF1885">
        <w:trPr>
          <w:trHeight w:val="552"/>
        </w:trPr>
        <w:tc>
          <w:tcPr>
            <w:tcW w:w="3220" w:type="dxa"/>
            <w:tcBorders>
              <w:top w:val="nil"/>
              <w:left w:val="nil"/>
              <w:bottom w:val="single" w:sz="4" w:space="0" w:color="BFBFBF"/>
              <w:right w:val="nil"/>
            </w:tcBorders>
            <w:shd w:val="clear" w:color="000000" w:fill="FFFFFF"/>
            <w:vAlign w:val="center"/>
            <w:hideMark/>
          </w:tcPr>
          <w:p w14:paraId="079807D5"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Especializadas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G</w:t>
            </w:r>
          </w:p>
        </w:tc>
        <w:tc>
          <w:tcPr>
            <w:tcW w:w="3680" w:type="dxa"/>
            <w:tcBorders>
              <w:top w:val="nil"/>
              <w:left w:val="nil"/>
              <w:bottom w:val="single" w:sz="4" w:space="0" w:color="BFBFBF"/>
              <w:right w:val="nil"/>
            </w:tcBorders>
            <w:shd w:val="clear" w:color="000000" w:fill="FFFFFF"/>
            <w:vAlign w:val="center"/>
            <w:hideMark/>
          </w:tcPr>
          <w:p w14:paraId="6E711925"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de Agronegócios</w:t>
            </w:r>
            <w:r w:rsidRPr="00AF1885">
              <w:rPr>
                <w:rFonts w:ascii="Calibri" w:eastAsia="Times New Roman" w:hAnsi="Calibri" w:cs="Calibri"/>
                <w:color w:val="000000"/>
                <w:sz w:val="20"/>
                <w:szCs w:val="20"/>
                <w:lang w:eastAsia="pt-BR"/>
              </w:rPr>
              <w:br/>
              <w:t>-Gerente de Equipe de Cobrança</w:t>
            </w:r>
          </w:p>
        </w:tc>
        <w:tc>
          <w:tcPr>
            <w:tcW w:w="1080" w:type="dxa"/>
            <w:tcBorders>
              <w:top w:val="nil"/>
              <w:left w:val="nil"/>
              <w:bottom w:val="single" w:sz="4" w:space="0" w:color="BFBFBF"/>
              <w:right w:val="nil"/>
            </w:tcBorders>
            <w:shd w:val="clear" w:color="000000" w:fill="FFFFFF"/>
            <w:noWrap/>
            <w:vAlign w:val="center"/>
            <w:hideMark/>
          </w:tcPr>
          <w:p w14:paraId="03DE8513"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2</w:t>
            </w:r>
          </w:p>
        </w:tc>
        <w:tc>
          <w:tcPr>
            <w:tcW w:w="1520" w:type="dxa"/>
            <w:tcBorders>
              <w:top w:val="nil"/>
              <w:left w:val="nil"/>
              <w:bottom w:val="single" w:sz="4" w:space="0" w:color="BFBFBF"/>
              <w:right w:val="nil"/>
            </w:tcBorders>
            <w:shd w:val="clear" w:color="000000" w:fill="FFFFFF"/>
            <w:noWrap/>
            <w:vAlign w:val="center"/>
            <w:hideMark/>
          </w:tcPr>
          <w:p w14:paraId="0AA3DB49"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7.254,02 </w:t>
            </w:r>
          </w:p>
        </w:tc>
      </w:tr>
      <w:tr w:rsidR="00AF1885" w:rsidRPr="00AF1885" w14:paraId="32D2728B" w14:textId="77777777" w:rsidTr="00AF1885">
        <w:trPr>
          <w:trHeight w:val="612"/>
        </w:trPr>
        <w:tc>
          <w:tcPr>
            <w:tcW w:w="3220" w:type="dxa"/>
            <w:tcBorders>
              <w:top w:val="nil"/>
              <w:left w:val="nil"/>
              <w:bottom w:val="single" w:sz="4" w:space="0" w:color="BFBFBF"/>
              <w:right w:val="nil"/>
            </w:tcBorders>
            <w:shd w:val="clear" w:color="000000" w:fill="F2F2F2"/>
            <w:vAlign w:val="center"/>
            <w:hideMark/>
          </w:tcPr>
          <w:p w14:paraId="2B996619"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Especializadas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H</w:t>
            </w:r>
          </w:p>
        </w:tc>
        <w:tc>
          <w:tcPr>
            <w:tcW w:w="3680" w:type="dxa"/>
            <w:tcBorders>
              <w:top w:val="nil"/>
              <w:left w:val="nil"/>
              <w:bottom w:val="single" w:sz="4" w:space="0" w:color="BFBFBF"/>
              <w:right w:val="nil"/>
            </w:tcBorders>
            <w:shd w:val="clear" w:color="000000" w:fill="F2F2F2"/>
            <w:vAlign w:val="center"/>
            <w:hideMark/>
          </w:tcPr>
          <w:p w14:paraId="36EE90D1"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-Gerente de Agronegócios</w:t>
            </w:r>
            <w:r w:rsidRPr="00AF1885">
              <w:rPr>
                <w:rFonts w:ascii="Calibri" w:eastAsia="Times New Roman" w:hAnsi="Calibri" w:cs="Calibri"/>
                <w:color w:val="000000"/>
                <w:sz w:val="20"/>
                <w:szCs w:val="20"/>
                <w:lang w:eastAsia="pt-BR"/>
              </w:rPr>
              <w:br/>
              <w:t>-Gerente de Equipe de Cobrança</w:t>
            </w:r>
          </w:p>
        </w:tc>
        <w:tc>
          <w:tcPr>
            <w:tcW w:w="1080" w:type="dxa"/>
            <w:tcBorders>
              <w:top w:val="nil"/>
              <w:left w:val="nil"/>
              <w:bottom w:val="single" w:sz="4" w:space="0" w:color="BFBFBF"/>
              <w:right w:val="nil"/>
            </w:tcBorders>
            <w:shd w:val="clear" w:color="000000" w:fill="F2F2F2"/>
            <w:noWrap/>
            <w:vAlign w:val="center"/>
            <w:hideMark/>
          </w:tcPr>
          <w:p w14:paraId="7936838E"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2</w:t>
            </w:r>
          </w:p>
        </w:tc>
        <w:tc>
          <w:tcPr>
            <w:tcW w:w="1520" w:type="dxa"/>
            <w:tcBorders>
              <w:top w:val="nil"/>
              <w:left w:val="nil"/>
              <w:bottom w:val="single" w:sz="4" w:space="0" w:color="BFBFBF"/>
              <w:right w:val="nil"/>
            </w:tcBorders>
            <w:shd w:val="clear" w:color="000000" w:fill="F2F2F2"/>
            <w:noWrap/>
            <w:vAlign w:val="center"/>
            <w:hideMark/>
          </w:tcPr>
          <w:p w14:paraId="3B61D26D"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6.005,69 </w:t>
            </w:r>
          </w:p>
        </w:tc>
      </w:tr>
      <w:tr w:rsidR="00AF1885" w:rsidRPr="00AF1885" w14:paraId="70C4965F" w14:textId="77777777" w:rsidTr="00AF1885">
        <w:trPr>
          <w:trHeight w:val="576"/>
        </w:trPr>
        <w:tc>
          <w:tcPr>
            <w:tcW w:w="3220" w:type="dxa"/>
            <w:tcBorders>
              <w:top w:val="nil"/>
              <w:left w:val="nil"/>
              <w:bottom w:val="single" w:sz="4" w:space="0" w:color="BFBFBF"/>
              <w:right w:val="nil"/>
            </w:tcBorders>
            <w:shd w:val="clear" w:color="000000" w:fill="FFFFFF"/>
            <w:vAlign w:val="center"/>
            <w:hideMark/>
          </w:tcPr>
          <w:p w14:paraId="4E811B42"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Administrativas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A</w:t>
            </w:r>
          </w:p>
        </w:tc>
        <w:tc>
          <w:tcPr>
            <w:tcW w:w="3680" w:type="dxa"/>
            <w:tcBorders>
              <w:top w:val="nil"/>
              <w:left w:val="nil"/>
              <w:bottom w:val="single" w:sz="4" w:space="0" w:color="BFBFBF"/>
              <w:right w:val="nil"/>
            </w:tcBorders>
            <w:shd w:val="clear" w:color="000000" w:fill="FFFFFF"/>
            <w:vAlign w:val="center"/>
            <w:hideMark/>
          </w:tcPr>
          <w:p w14:paraId="49FF87DF"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-Assessor Consultivo da Diretoria</w:t>
            </w:r>
          </w:p>
        </w:tc>
        <w:tc>
          <w:tcPr>
            <w:tcW w:w="1080" w:type="dxa"/>
            <w:tcBorders>
              <w:top w:val="nil"/>
              <w:left w:val="nil"/>
              <w:bottom w:val="single" w:sz="4" w:space="0" w:color="BFBFBF"/>
              <w:right w:val="nil"/>
            </w:tcBorders>
            <w:shd w:val="clear" w:color="000000" w:fill="FFFFFF"/>
            <w:noWrap/>
            <w:vAlign w:val="center"/>
            <w:hideMark/>
          </w:tcPr>
          <w:p w14:paraId="6B0C4821"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1</w:t>
            </w:r>
          </w:p>
        </w:tc>
        <w:tc>
          <w:tcPr>
            <w:tcW w:w="1520" w:type="dxa"/>
            <w:tcBorders>
              <w:top w:val="nil"/>
              <w:left w:val="nil"/>
              <w:bottom w:val="single" w:sz="4" w:space="0" w:color="BFBFBF"/>
              <w:right w:val="nil"/>
            </w:tcBorders>
            <w:shd w:val="clear" w:color="000000" w:fill="FFFFFF"/>
            <w:noWrap/>
            <w:vAlign w:val="center"/>
            <w:hideMark/>
          </w:tcPr>
          <w:p w14:paraId="51381D30" w14:textId="0F92C296"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20.591,2</w:t>
            </w:r>
            <w:r w:rsidR="000416A5">
              <w:rPr>
                <w:rFonts w:ascii="Calibri" w:eastAsia="Times New Roman" w:hAnsi="Calibri" w:cs="Calibri"/>
                <w:color w:val="000000"/>
                <w:sz w:val="20"/>
                <w:szCs w:val="20"/>
                <w:lang w:eastAsia="pt-BR"/>
              </w:rPr>
              <w:t>7</w:t>
            </w:r>
            <w:r w:rsidRPr="00AF1885">
              <w:rPr>
                <w:rFonts w:ascii="Calibri" w:eastAsia="Times New Roman" w:hAnsi="Calibri" w:cs="Calibri"/>
                <w:color w:val="000000"/>
                <w:sz w:val="20"/>
                <w:szCs w:val="20"/>
                <w:lang w:eastAsia="pt-BR"/>
              </w:rPr>
              <w:t xml:space="preserve"> </w:t>
            </w:r>
          </w:p>
        </w:tc>
      </w:tr>
      <w:tr w:rsidR="00AF1885" w:rsidRPr="00AF1885" w14:paraId="61475085" w14:textId="77777777" w:rsidTr="00AF1885">
        <w:trPr>
          <w:trHeight w:val="2580"/>
        </w:trPr>
        <w:tc>
          <w:tcPr>
            <w:tcW w:w="3220" w:type="dxa"/>
            <w:tcBorders>
              <w:top w:val="nil"/>
              <w:left w:val="nil"/>
              <w:bottom w:val="single" w:sz="4" w:space="0" w:color="BFBFBF"/>
              <w:right w:val="nil"/>
            </w:tcBorders>
            <w:shd w:val="clear" w:color="000000" w:fill="F2F2F2"/>
            <w:vAlign w:val="center"/>
            <w:hideMark/>
          </w:tcPr>
          <w:p w14:paraId="40C9B5D8"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Administrativas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C</w:t>
            </w:r>
          </w:p>
        </w:tc>
        <w:tc>
          <w:tcPr>
            <w:tcW w:w="3680" w:type="dxa"/>
            <w:tcBorders>
              <w:top w:val="nil"/>
              <w:left w:val="nil"/>
              <w:bottom w:val="single" w:sz="4" w:space="0" w:color="BFBFBF"/>
              <w:right w:val="nil"/>
            </w:tcBorders>
            <w:shd w:val="clear" w:color="000000" w:fill="F2F2F2"/>
            <w:vAlign w:val="center"/>
            <w:hideMark/>
          </w:tcPr>
          <w:p w14:paraId="1551F8B6"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-Analista</w:t>
            </w:r>
            <w:r w:rsidRPr="00AF1885">
              <w:rPr>
                <w:rFonts w:ascii="Calibri" w:eastAsia="Times New Roman" w:hAnsi="Calibri" w:cs="Calibri"/>
                <w:color w:val="000000"/>
                <w:sz w:val="20"/>
                <w:szCs w:val="20"/>
                <w:lang w:eastAsia="pt-BR"/>
              </w:rPr>
              <w:br/>
              <w:t>-Assessor Jurídico</w:t>
            </w:r>
            <w:r w:rsidRPr="00AF1885">
              <w:rPr>
                <w:rFonts w:ascii="Calibri" w:eastAsia="Times New Roman" w:hAnsi="Calibri" w:cs="Calibri"/>
                <w:color w:val="000000"/>
                <w:sz w:val="20"/>
                <w:szCs w:val="20"/>
                <w:lang w:eastAsia="pt-BR"/>
              </w:rPr>
              <w:br/>
              <w:t>-Auditor</w:t>
            </w:r>
            <w:r w:rsidRPr="00AF1885">
              <w:rPr>
                <w:rFonts w:ascii="Calibri" w:eastAsia="Times New Roman" w:hAnsi="Calibri" w:cs="Calibri"/>
                <w:color w:val="000000"/>
                <w:sz w:val="20"/>
                <w:szCs w:val="20"/>
                <w:lang w:eastAsia="pt-BR"/>
              </w:rPr>
              <w:br/>
              <w:t>-Enfermeiro do Trabalho</w:t>
            </w:r>
            <w:r w:rsidRPr="00AF1885">
              <w:rPr>
                <w:rFonts w:ascii="Calibri" w:eastAsia="Times New Roman" w:hAnsi="Calibri" w:cs="Calibri"/>
                <w:color w:val="000000"/>
                <w:sz w:val="20"/>
                <w:szCs w:val="20"/>
                <w:lang w:eastAsia="pt-BR"/>
              </w:rPr>
              <w:br/>
              <w:t>-Técnico em Informática</w:t>
            </w:r>
            <w:r w:rsidRPr="00AF1885">
              <w:rPr>
                <w:rFonts w:ascii="Calibri" w:eastAsia="Times New Roman" w:hAnsi="Calibri" w:cs="Calibri"/>
                <w:color w:val="000000"/>
                <w:sz w:val="20"/>
                <w:szCs w:val="20"/>
                <w:lang w:eastAsia="pt-BR"/>
              </w:rPr>
              <w:br/>
              <w:t>-Engenheiro de Segurança do Trabalho</w:t>
            </w:r>
            <w:r w:rsidRPr="00AF1885">
              <w:rPr>
                <w:rFonts w:ascii="Calibri" w:eastAsia="Times New Roman" w:hAnsi="Calibri" w:cs="Calibri"/>
                <w:color w:val="000000"/>
                <w:sz w:val="20"/>
                <w:szCs w:val="20"/>
                <w:lang w:eastAsia="pt-BR"/>
              </w:rPr>
              <w:br/>
              <w:t>-Técnico em Segurança do Trabalho</w:t>
            </w:r>
            <w:r w:rsidRPr="00AF1885">
              <w:rPr>
                <w:rFonts w:ascii="Calibri" w:eastAsia="Times New Roman" w:hAnsi="Calibri" w:cs="Calibri"/>
                <w:color w:val="000000"/>
                <w:sz w:val="20"/>
                <w:szCs w:val="20"/>
                <w:lang w:eastAsia="pt-BR"/>
              </w:rPr>
              <w:br/>
              <w:t>-Coordenador de Grupo</w:t>
            </w:r>
          </w:p>
        </w:tc>
        <w:tc>
          <w:tcPr>
            <w:tcW w:w="1080" w:type="dxa"/>
            <w:tcBorders>
              <w:top w:val="nil"/>
              <w:left w:val="nil"/>
              <w:bottom w:val="single" w:sz="4" w:space="0" w:color="BFBFBF"/>
              <w:right w:val="nil"/>
            </w:tcBorders>
            <w:shd w:val="clear" w:color="000000" w:fill="F2F2F2"/>
            <w:noWrap/>
            <w:vAlign w:val="center"/>
            <w:hideMark/>
          </w:tcPr>
          <w:p w14:paraId="04BF1E69"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1</w:t>
            </w:r>
          </w:p>
        </w:tc>
        <w:tc>
          <w:tcPr>
            <w:tcW w:w="1520" w:type="dxa"/>
            <w:tcBorders>
              <w:top w:val="nil"/>
              <w:left w:val="nil"/>
              <w:bottom w:val="single" w:sz="4" w:space="0" w:color="BFBFBF"/>
              <w:right w:val="nil"/>
            </w:tcBorders>
            <w:shd w:val="clear" w:color="000000" w:fill="F2F2F2"/>
            <w:noWrap/>
            <w:vAlign w:val="center"/>
            <w:hideMark/>
          </w:tcPr>
          <w:p w14:paraId="32FE4FC7" w14:textId="02E4B235"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13.369,7</w:t>
            </w:r>
            <w:r w:rsidR="000416A5">
              <w:rPr>
                <w:rFonts w:ascii="Calibri" w:eastAsia="Times New Roman" w:hAnsi="Calibri" w:cs="Calibri"/>
                <w:color w:val="000000"/>
                <w:sz w:val="20"/>
                <w:szCs w:val="20"/>
                <w:lang w:eastAsia="pt-BR"/>
              </w:rPr>
              <w:t>3</w:t>
            </w:r>
            <w:r w:rsidRPr="00AF1885">
              <w:rPr>
                <w:rFonts w:ascii="Calibri" w:eastAsia="Times New Roman" w:hAnsi="Calibri" w:cs="Calibri"/>
                <w:color w:val="000000"/>
                <w:sz w:val="20"/>
                <w:szCs w:val="20"/>
                <w:lang w:eastAsia="pt-BR"/>
              </w:rPr>
              <w:t xml:space="preserve"> </w:t>
            </w:r>
          </w:p>
        </w:tc>
      </w:tr>
      <w:tr w:rsidR="00AF1885" w:rsidRPr="00AF1885" w14:paraId="7B8308B9" w14:textId="77777777" w:rsidTr="00AF1885">
        <w:trPr>
          <w:trHeight w:val="2592"/>
        </w:trPr>
        <w:tc>
          <w:tcPr>
            <w:tcW w:w="3220" w:type="dxa"/>
            <w:tcBorders>
              <w:top w:val="nil"/>
              <w:left w:val="nil"/>
              <w:bottom w:val="single" w:sz="4" w:space="0" w:color="BFBFBF"/>
              <w:right w:val="nil"/>
            </w:tcBorders>
            <w:shd w:val="clear" w:color="000000" w:fill="FFFFFF"/>
            <w:vAlign w:val="center"/>
            <w:hideMark/>
          </w:tcPr>
          <w:p w14:paraId="07E8E63F"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Administrativas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D</w:t>
            </w:r>
          </w:p>
        </w:tc>
        <w:tc>
          <w:tcPr>
            <w:tcW w:w="3680" w:type="dxa"/>
            <w:tcBorders>
              <w:top w:val="nil"/>
              <w:left w:val="nil"/>
              <w:bottom w:val="single" w:sz="4" w:space="0" w:color="BFBFBF"/>
              <w:right w:val="nil"/>
            </w:tcBorders>
            <w:shd w:val="clear" w:color="000000" w:fill="FFFFFF"/>
            <w:vAlign w:val="center"/>
            <w:hideMark/>
          </w:tcPr>
          <w:p w14:paraId="0CD5AFE5"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-Analista</w:t>
            </w:r>
            <w:r w:rsidRPr="00AF1885">
              <w:rPr>
                <w:rFonts w:ascii="Calibri" w:eastAsia="Times New Roman" w:hAnsi="Calibri" w:cs="Calibri"/>
                <w:color w:val="000000"/>
                <w:sz w:val="20"/>
                <w:szCs w:val="20"/>
                <w:lang w:eastAsia="pt-BR"/>
              </w:rPr>
              <w:br/>
              <w:t>-Assessor Jurídico</w:t>
            </w:r>
            <w:r w:rsidRPr="00AF1885">
              <w:rPr>
                <w:rFonts w:ascii="Calibri" w:eastAsia="Times New Roman" w:hAnsi="Calibri" w:cs="Calibri"/>
                <w:color w:val="000000"/>
                <w:sz w:val="20"/>
                <w:szCs w:val="20"/>
                <w:lang w:eastAsia="pt-BR"/>
              </w:rPr>
              <w:br/>
              <w:t>-Auditor</w:t>
            </w:r>
            <w:r w:rsidRPr="00AF1885">
              <w:rPr>
                <w:rFonts w:ascii="Calibri" w:eastAsia="Times New Roman" w:hAnsi="Calibri" w:cs="Calibri"/>
                <w:color w:val="000000"/>
                <w:sz w:val="20"/>
                <w:szCs w:val="20"/>
                <w:lang w:eastAsia="pt-BR"/>
              </w:rPr>
              <w:br/>
              <w:t>-Enfermeiro do Trabalho</w:t>
            </w:r>
            <w:r w:rsidRPr="00AF1885">
              <w:rPr>
                <w:rFonts w:ascii="Calibri" w:eastAsia="Times New Roman" w:hAnsi="Calibri" w:cs="Calibri"/>
                <w:color w:val="000000"/>
                <w:sz w:val="20"/>
                <w:szCs w:val="20"/>
                <w:lang w:eastAsia="pt-BR"/>
              </w:rPr>
              <w:br/>
              <w:t>-Técnico em Informática</w:t>
            </w:r>
            <w:r w:rsidRPr="00AF1885">
              <w:rPr>
                <w:rFonts w:ascii="Calibri" w:eastAsia="Times New Roman" w:hAnsi="Calibri" w:cs="Calibri"/>
                <w:color w:val="000000"/>
                <w:sz w:val="20"/>
                <w:szCs w:val="20"/>
                <w:lang w:eastAsia="pt-BR"/>
              </w:rPr>
              <w:br/>
              <w:t>-Engenheiro de Segurança do Trabalho</w:t>
            </w:r>
            <w:r w:rsidRPr="00AF1885">
              <w:rPr>
                <w:rFonts w:ascii="Calibri" w:eastAsia="Times New Roman" w:hAnsi="Calibri" w:cs="Calibri"/>
                <w:color w:val="000000"/>
                <w:sz w:val="20"/>
                <w:szCs w:val="20"/>
                <w:lang w:eastAsia="pt-BR"/>
              </w:rPr>
              <w:br/>
              <w:t>-Técnico em Segurança do Trabalho</w:t>
            </w:r>
          </w:p>
        </w:tc>
        <w:tc>
          <w:tcPr>
            <w:tcW w:w="1080" w:type="dxa"/>
            <w:tcBorders>
              <w:top w:val="nil"/>
              <w:left w:val="nil"/>
              <w:bottom w:val="single" w:sz="4" w:space="0" w:color="BFBFBF"/>
              <w:right w:val="nil"/>
            </w:tcBorders>
            <w:shd w:val="clear" w:color="000000" w:fill="FFFFFF"/>
            <w:noWrap/>
            <w:vAlign w:val="center"/>
            <w:hideMark/>
          </w:tcPr>
          <w:p w14:paraId="7CC98FB9"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1</w:t>
            </w:r>
          </w:p>
        </w:tc>
        <w:tc>
          <w:tcPr>
            <w:tcW w:w="1520" w:type="dxa"/>
            <w:tcBorders>
              <w:top w:val="nil"/>
              <w:left w:val="nil"/>
              <w:bottom w:val="single" w:sz="4" w:space="0" w:color="BFBFBF"/>
              <w:right w:val="nil"/>
            </w:tcBorders>
            <w:shd w:val="clear" w:color="000000" w:fill="FFFFFF"/>
            <w:noWrap/>
            <w:vAlign w:val="center"/>
            <w:hideMark/>
          </w:tcPr>
          <w:p w14:paraId="5B9B9A80" w14:textId="6C7313AF"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11.022,3</w:t>
            </w:r>
            <w:r w:rsidR="000416A5">
              <w:rPr>
                <w:rFonts w:ascii="Calibri" w:eastAsia="Times New Roman" w:hAnsi="Calibri" w:cs="Calibri"/>
                <w:color w:val="000000"/>
                <w:sz w:val="20"/>
                <w:szCs w:val="20"/>
                <w:lang w:eastAsia="pt-BR"/>
              </w:rPr>
              <w:t>5</w:t>
            </w:r>
            <w:r w:rsidRPr="00AF1885">
              <w:rPr>
                <w:rFonts w:ascii="Calibri" w:eastAsia="Times New Roman" w:hAnsi="Calibri" w:cs="Calibri"/>
                <w:color w:val="000000"/>
                <w:sz w:val="20"/>
                <w:szCs w:val="20"/>
                <w:lang w:eastAsia="pt-BR"/>
              </w:rPr>
              <w:t xml:space="preserve"> </w:t>
            </w:r>
          </w:p>
        </w:tc>
      </w:tr>
      <w:tr w:rsidR="00AF1885" w:rsidRPr="00AF1885" w14:paraId="6528D407" w14:textId="77777777" w:rsidTr="00AF1885">
        <w:trPr>
          <w:trHeight w:val="2880"/>
        </w:trPr>
        <w:tc>
          <w:tcPr>
            <w:tcW w:w="3220" w:type="dxa"/>
            <w:tcBorders>
              <w:top w:val="nil"/>
              <w:left w:val="nil"/>
              <w:bottom w:val="single" w:sz="4" w:space="0" w:color="BFBFBF"/>
              <w:right w:val="nil"/>
            </w:tcBorders>
            <w:shd w:val="clear" w:color="000000" w:fill="F2F2F2"/>
            <w:vAlign w:val="center"/>
            <w:hideMark/>
          </w:tcPr>
          <w:p w14:paraId="6CF29472"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Administrativas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E</w:t>
            </w:r>
          </w:p>
        </w:tc>
        <w:tc>
          <w:tcPr>
            <w:tcW w:w="3680" w:type="dxa"/>
            <w:tcBorders>
              <w:top w:val="nil"/>
              <w:left w:val="nil"/>
              <w:bottom w:val="single" w:sz="4" w:space="0" w:color="BFBFBF"/>
              <w:right w:val="nil"/>
            </w:tcBorders>
            <w:shd w:val="clear" w:color="000000" w:fill="F2F2F2"/>
            <w:vAlign w:val="center"/>
            <w:hideMark/>
          </w:tcPr>
          <w:p w14:paraId="3135C157"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-Analista</w:t>
            </w:r>
            <w:r w:rsidRPr="00AF1885">
              <w:rPr>
                <w:rFonts w:ascii="Calibri" w:eastAsia="Times New Roman" w:hAnsi="Calibri" w:cs="Calibri"/>
                <w:color w:val="000000"/>
                <w:sz w:val="20"/>
                <w:szCs w:val="20"/>
                <w:lang w:eastAsia="pt-BR"/>
              </w:rPr>
              <w:br/>
              <w:t>-Assessor Jurídico</w:t>
            </w:r>
            <w:r w:rsidRPr="00AF1885">
              <w:rPr>
                <w:rFonts w:ascii="Calibri" w:eastAsia="Times New Roman" w:hAnsi="Calibri" w:cs="Calibri"/>
                <w:color w:val="000000"/>
                <w:sz w:val="20"/>
                <w:szCs w:val="20"/>
                <w:lang w:eastAsia="pt-BR"/>
              </w:rPr>
              <w:br/>
              <w:t>-Auditor</w:t>
            </w:r>
            <w:r w:rsidRPr="00AF1885">
              <w:rPr>
                <w:rFonts w:ascii="Calibri" w:eastAsia="Times New Roman" w:hAnsi="Calibri" w:cs="Calibri"/>
                <w:color w:val="000000"/>
                <w:sz w:val="20"/>
                <w:szCs w:val="20"/>
                <w:lang w:eastAsia="pt-BR"/>
              </w:rPr>
              <w:br/>
              <w:t>-Auxiliar de Enfermagem do Trabalho</w:t>
            </w:r>
            <w:r w:rsidRPr="00AF1885">
              <w:rPr>
                <w:rFonts w:ascii="Calibri" w:eastAsia="Times New Roman" w:hAnsi="Calibri" w:cs="Calibri"/>
                <w:color w:val="000000"/>
                <w:sz w:val="20"/>
                <w:szCs w:val="20"/>
                <w:lang w:eastAsia="pt-BR"/>
              </w:rPr>
              <w:br/>
              <w:t>-Enfermeiro do Trabalho</w:t>
            </w:r>
            <w:r w:rsidRPr="00AF1885">
              <w:rPr>
                <w:rFonts w:ascii="Calibri" w:eastAsia="Times New Roman" w:hAnsi="Calibri" w:cs="Calibri"/>
                <w:color w:val="000000"/>
                <w:sz w:val="20"/>
                <w:szCs w:val="20"/>
                <w:lang w:eastAsia="pt-BR"/>
              </w:rPr>
              <w:br/>
              <w:t>-Engenheiro de Segurança do Trabalho</w:t>
            </w:r>
            <w:r w:rsidRPr="00AF1885">
              <w:rPr>
                <w:rFonts w:ascii="Calibri" w:eastAsia="Times New Roman" w:hAnsi="Calibri" w:cs="Calibri"/>
                <w:color w:val="000000"/>
                <w:sz w:val="20"/>
                <w:szCs w:val="20"/>
                <w:lang w:eastAsia="pt-BR"/>
              </w:rPr>
              <w:br/>
              <w:t>-Técnico em Informática</w:t>
            </w:r>
            <w:r w:rsidRPr="00AF1885">
              <w:rPr>
                <w:rFonts w:ascii="Calibri" w:eastAsia="Times New Roman" w:hAnsi="Calibri" w:cs="Calibri"/>
                <w:color w:val="000000"/>
                <w:sz w:val="20"/>
                <w:szCs w:val="20"/>
                <w:lang w:eastAsia="pt-BR"/>
              </w:rPr>
              <w:br/>
              <w:t>-Técnico em Segurança do Trabalho</w:t>
            </w:r>
            <w:r w:rsidRPr="00AF1885">
              <w:rPr>
                <w:rFonts w:ascii="Calibri" w:eastAsia="Times New Roman" w:hAnsi="Calibri" w:cs="Calibri"/>
                <w:color w:val="000000"/>
                <w:sz w:val="20"/>
                <w:szCs w:val="20"/>
                <w:lang w:eastAsia="pt-BR"/>
              </w:rPr>
              <w:br/>
              <w:t>-Técnico Serviço Manutenção</w:t>
            </w:r>
          </w:p>
        </w:tc>
        <w:tc>
          <w:tcPr>
            <w:tcW w:w="1080" w:type="dxa"/>
            <w:tcBorders>
              <w:top w:val="nil"/>
              <w:left w:val="nil"/>
              <w:bottom w:val="single" w:sz="4" w:space="0" w:color="BFBFBF"/>
              <w:right w:val="nil"/>
            </w:tcBorders>
            <w:shd w:val="clear" w:color="000000" w:fill="F2F2F2"/>
            <w:noWrap/>
            <w:vAlign w:val="center"/>
            <w:hideMark/>
          </w:tcPr>
          <w:p w14:paraId="7646FE0B"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1</w:t>
            </w:r>
          </w:p>
        </w:tc>
        <w:tc>
          <w:tcPr>
            <w:tcW w:w="1520" w:type="dxa"/>
            <w:tcBorders>
              <w:top w:val="nil"/>
              <w:left w:val="nil"/>
              <w:bottom w:val="single" w:sz="4" w:space="0" w:color="BFBFBF"/>
              <w:right w:val="nil"/>
            </w:tcBorders>
            <w:shd w:val="clear" w:color="000000" w:fill="F2F2F2"/>
            <w:noWrap/>
            <w:vAlign w:val="center"/>
            <w:hideMark/>
          </w:tcPr>
          <w:p w14:paraId="1C8CEB3A"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9.402,99 </w:t>
            </w:r>
          </w:p>
        </w:tc>
      </w:tr>
      <w:tr w:rsidR="00AF1885" w:rsidRPr="00AF1885" w14:paraId="20BD4D09" w14:textId="77777777" w:rsidTr="00AF1885">
        <w:trPr>
          <w:trHeight w:val="3144"/>
        </w:trPr>
        <w:tc>
          <w:tcPr>
            <w:tcW w:w="3220" w:type="dxa"/>
            <w:tcBorders>
              <w:top w:val="nil"/>
              <w:left w:val="nil"/>
              <w:bottom w:val="single" w:sz="4" w:space="0" w:color="BFBFBF"/>
              <w:right w:val="nil"/>
            </w:tcBorders>
            <w:shd w:val="clear" w:color="000000" w:fill="FFFFFF"/>
            <w:vAlign w:val="center"/>
            <w:hideMark/>
          </w:tcPr>
          <w:p w14:paraId="6A5B0714"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Administrativas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F</w:t>
            </w:r>
          </w:p>
        </w:tc>
        <w:tc>
          <w:tcPr>
            <w:tcW w:w="3680" w:type="dxa"/>
            <w:tcBorders>
              <w:top w:val="nil"/>
              <w:left w:val="nil"/>
              <w:bottom w:val="single" w:sz="4" w:space="0" w:color="BFBFBF"/>
              <w:right w:val="nil"/>
            </w:tcBorders>
            <w:shd w:val="clear" w:color="000000" w:fill="FFFFFF"/>
            <w:vAlign w:val="center"/>
            <w:hideMark/>
          </w:tcPr>
          <w:p w14:paraId="412B71BE"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-Analista</w:t>
            </w:r>
            <w:r w:rsidRPr="00AF1885">
              <w:rPr>
                <w:rFonts w:ascii="Calibri" w:eastAsia="Times New Roman" w:hAnsi="Calibri" w:cs="Calibri"/>
                <w:color w:val="000000"/>
                <w:sz w:val="20"/>
                <w:szCs w:val="20"/>
                <w:lang w:eastAsia="pt-BR"/>
              </w:rPr>
              <w:br/>
              <w:t>-Assessor Jurídico</w:t>
            </w:r>
            <w:r w:rsidRPr="00AF1885">
              <w:rPr>
                <w:rFonts w:ascii="Calibri" w:eastAsia="Times New Roman" w:hAnsi="Calibri" w:cs="Calibri"/>
                <w:color w:val="000000"/>
                <w:sz w:val="20"/>
                <w:szCs w:val="20"/>
                <w:lang w:eastAsia="pt-BR"/>
              </w:rPr>
              <w:br/>
              <w:t>-Auditor</w:t>
            </w:r>
            <w:r w:rsidRPr="00AF1885">
              <w:rPr>
                <w:rFonts w:ascii="Calibri" w:eastAsia="Times New Roman" w:hAnsi="Calibri" w:cs="Calibri"/>
                <w:color w:val="000000"/>
                <w:sz w:val="20"/>
                <w:szCs w:val="20"/>
                <w:lang w:eastAsia="pt-BR"/>
              </w:rPr>
              <w:br/>
              <w:t>-Auxiliar de Enfermagem do Trabalho</w:t>
            </w:r>
            <w:r w:rsidRPr="00AF1885">
              <w:rPr>
                <w:rFonts w:ascii="Calibri" w:eastAsia="Times New Roman" w:hAnsi="Calibri" w:cs="Calibri"/>
                <w:color w:val="000000"/>
                <w:sz w:val="20"/>
                <w:szCs w:val="20"/>
                <w:lang w:eastAsia="pt-BR"/>
              </w:rPr>
              <w:br/>
              <w:t>-Enfermeiro do Trabalho</w:t>
            </w:r>
            <w:r w:rsidRPr="00AF1885">
              <w:rPr>
                <w:rFonts w:ascii="Calibri" w:eastAsia="Times New Roman" w:hAnsi="Calibri" w:cs="Calibri"/>
                <w:color w:val="000000"/>
                <w:sz w:val="20"/>
                <w:szCs w:val="20"/>
                <w:lang w:eastAsia="pt-BR"/>
              </w:rPr>
              <w:br/>
              <w:t>-Engenheiro de Segurança do Trabalho</w:t>
            </w:r>
            <w:r w:rsidRPr="00AF1885">
              <w:rPr>
                <w:rFonts w:ascii="Calibri" w:eastAsia="Times New Roman" w:hAnsi="Calibri" w:cs="Calibri"/>
                <w:color w:val="000000"/>
                <w:sz w:val="20"/>
                <w:szCs w:val="20"/>
                <w:lang w:eastAsia="pt-BR"/>
              </w:rPr>
              <w:br/>
              <w:t>-Técnico em Informática</w:t>
            </w:r>
            <w:r w:rsidRPr="00AF1885">
              <w:rPr>
                <w:rFonts w:ascii="Calibri" w:eastAsia="Times New Roman" w:hAnsi="Calibri" w:cs="Calibri"/>
                <w:color w:val="000000"/>
                <w:sz w:val="20"/>
                <w:szCs w:val="20"/>
                <w:lang w:eastAsia="pt-BR"/>
              </w:rPr>
              <w:br/>
              <w:t>-Técnico em Enfermagem do Trabalho</w:t>
            </w:r>
            <w:r w:rsidRPr="00AF1885">
              <w:rPr>
                <w:rFonts w:ascii="Calibri" w:eastAsia="Times New Roman" w:hAnsi="Calibri" w:cs="Calibri"/>
                <w:color w:val="000000"/>
                <w:sz w:val="20"/>
                <w:szCs w:val="20"/>
                <w:lang w:eastAsia="pt-BR"/>
              </w:rPr>
              <w:br/>
              <w:t>-Técnico em Segurança do Trabalho</w:t>
            </w:r>
            <w:r w:rsidRPr="00AF1885">
              <w:rPr>
                <w:rFonts w:ascii="Calibri" w:eastAsia="Times New Roman" w:hAnsi="Calibri" w:cs="Calibri"/>
                <w:color w:val="000000"/>
                <w:sz w:val="20"/>
                <w:szCs w:val="20"/>
                <w:lang w:eastAsia="pt-BR"/>
              </w:rPr>
              <w:br/>
              <w:t>-Técnico Serviço Manutenção</w:t>
            </w:r>
          </w:p>
        </w:tc>
        <w:tc>
          <w:tcPr>
            <w:tcW w:w="1080" w:type="dxa"/>
            <w:tcBorders>
              <w:top w:val="nil"/>
              <w:left w:val="nil"/>
              <w:bottom w:val="single" w:sz="4" w:space="0" w:color="BFBFBF"/>
              <w:right w:val="nil"/>
            </w:tcBorders>
            <w:shd w:val="clear" w:color="000000" w:fill="FFFFFF"/>
            <w:noWrap/>
            <w:vAlign w:val="center"/>
            <w:hideMark/>
          </w:tcPr>
          <w:p w14:paraId="3AB759F2"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1</w:t>
            </w:r>
          </w:p>
        </w:tc>
        <w:tc>
          <w:tcPr>
            <w:tcW w:w="1520" w:type="dxa"/>
            <w:tcBorders>
              <w:top w:val="nil"/>
              <w:left w:val="nil"/>
              <w:bottom w:val="single" w:sz="4" w:space="0" w:color="BFBFBF"/>
              <w:right w:val="nil"/>
            </w:tcBorders>
            <w:shd w:val="clear" w:color="000000" w:fill="FFFFFF"/>
            <w:noWrap/>
            <w:vAlign w:val="center"/>
            <w:hideMark/>
          </w:tcPr>
          <w:p w14:paraId="27025D2D"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8.198,52 </w:t>
            </w:r>
          </w:p>
        </w:tc>
      </w:tr>
      <w:tr w:rsidR="00AF1885" w:rsidRPr="00AF1885" w14:paraId="6B3CC07A" w14:textId="77777777" w:rsidTr="00AF1885">
        <w:trPr>
          <w:trHeight w:val="3324"/>
        </w:trPr>
        <w:tc>
          <w:tcPr>
            <w:tcW w:w="3220" w:type="dxa"/>
            <w:tcBorders>
              <w:top w:val="nil"/>
              <w:left w:val="nil"/>
              <w:bottom w:val="single" w:sz="4" w:space="0" w:color="BFBFBF"/>
              <w:right w:val="nil"/>
            </w:tcBorders>
            <w:shd w:val="clear" w:color="000000" w:fill="F2F2F2"/>
            <w:vAlign w:val="center"/>
            <w:hideMark/>
          </w:tcPr>
          <w:p w14:paraId="194102E7"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Administrativas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G</w:t>
            </w:r>
          </w:p>
        </w:tc>
        <w:tc>
          <w:tcPr>
            <w:tcW w:w="3680" w:type="dxa"/>
            <w:tcBorders>
              <w:top w:val="nil"/>
              <w:left w:val="nil"/>
              <w:bottom w:val="single" w:sz="4" w:space="0" w:color="BFBFBF"/>
              <w:right w:val="nil"/>
            </w:tcBorders>
            <w:shd w:val="clear" w:color="000000" w:fill="F2F2F2"/>
            <w:vAlign w:val="center"/>
            <w:hideMark/>
          </w:tcPr>
          <w:p w14:paraId="6E1906F8"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-Analista</w:t>
            </w:r>
            <w:r w:rsidRPr="00AF1885">
              <w:rPr>
                <w:rFonts w:ascii="Calibri" w:eastAsia="Times New Roman" w:hAnsi="Calibri" w:cs="Calibri"/>
                <w:color w:val="000000"/>
                <w:sz w:val="20"/>
                <w:szCs w:val="20"/>
                <w:lang w:eastAsia="pt-BR"/>
              </w:rPr>
              <w:br/>
              <w:t>-Assessor Jurídico</w:t>
            </w:r>
            <w:r w:rsidRPr="00AF1885">
              <w:rPr>
                <w:rFonts w:ascii="Calibri" w:eastAsia="Times New Roman" w:hAnsi="Calibri" w:cs="Calibri"/>
                <w:color w:val="000000"/>
                <w:sz w:val="20"/>
                <w:szCs w:val="20"/>
                <w:lang w:eastAsia="pt-BR"/>
              </w:rPr>
              <w:br/>
              <w:t>-Assistente</w:t>
            </w:r>
            <w:r w:rsidRPr="00AF1885">
              <w:rPr>
                <w:rFonts w:ascii="Calibri" w:eastAsia="Times New Roman" w:hAnsi="Calibri" w:cs="Calibri"/>
                <w:color w:val="000000"/>
                <w:sz w:val="20"/>
                <w:szCs w:val="20"/>
                <w:lang w:eastAsia="pt-BR"/>
              </w:rPr>
              <w:br/>
              <w:t>-Auditor</w:t>
            </w:r>
            <w:r w:rsidRPr="00AF1885">
              <w:rPr>
                <w:rFonts w:ascii="Calibri" w:eastAsia="Times New Roman" w:hAnsi="Calibri" w:cs="Calibri"/>
                <w:color w:val="000000"/>
                <w:sz w:val="20"/>
                <w:szCs w:val="20"/>
                <w:lang w:eastAsia="pt-BR"/>
              </w:rPr>
              <w:br/>
              <w:t>-Auxiliar de Enfermagem do Trabalho</w:t>
            </w:r>
            <w:r w:rsidRPr="00AF1885">
              <w:rPr>
                <w:rFonts w:ascii="Calibri" w:eastAsia="Times New Roman" w:hAnsi="Calibri" w:cs="Calibri"/>
                <w:color w:val="000000"/>
                <w:sz w:val="20"/>
                <w:szCs w:val="20"/>
                <w:lang w:eastAsia="pt-BR"/>
              </w:rPr>
              <w:br/>
              <w:t>-Enfermeiro do Trabalho</w:t>
            </w:r>
            <w:r w:rsidRPr="00AF1885">
              <w:rPr>
                <w:rFonts w:ascii="Calibri" w:eastAsia="Times New Roman" w:hAnsi="Calibri" w:cs="Calibri"/>
                <w:color w:val="000000"/>
                <w:sz w:val="20"/>
                <w:szCs w:val="20"/>
                <w:lang w:eastAsia="pt-BR"/>
              </w:rPr>
              <w:br/>
              <w:t>-Engenheiro de Segurança do Trabalho</w:t>
            </w:r>
            <w:r w:rsidRPr="00AF1885">
              <w:rPr>
                <w:rFonts w:ascii="Calibri" w:eastAsia="Times New Roman" w:hAnsi="Calibri" w:cs="Calibri"/>
                <w:color w:val="000000"/>
                <w:sz w:val="20"/>
                <w:szCs w:val="20"/>
                <w:lang w:eastAsia="pt-BR"/>
              </w:rPr>
              <w:br/>
              <w:t>-Técnico em Informática</w:t>
            </w:r>
            <w:r w:rsidRPr="00AF1885">
              <w:rPr>
                <w:rFonts w:ascii="Calibri" w:eastAsia="Times New Roman" w:hAnsi="Calibri" w:cs="Calibri"/>
                <w:color w:val="000000"/>
                <w:sz w:val="20"/>
                <w:szCs w:val="20"/>
                <w:lang w:eastAsia="pt-BR"/>
              </w:rPr>
              <w:br/>
              <w:t>-Técnico em Enfermagem do Trabalho</w:t>
            </w:r>
            <w:r w:rsidRPr="00AF1885">
              <w:rPr>
                <w:rFonts w:ascii="Calibri" w:eastAsia="Times New Roman" w:hAnsi="Calibri" w:cs="Calibri"/>
                <w:color w:val="000000"/>
                <w:sz w:val="20"/>
                <w:szCs w:val="20"/>
                <w:lang w:eastAsia="pt-BR"/>
              </w:rPr>
              <w:br/>
              <w:t>-Técnico em Segurança do Trabalho</w:t>
            </w:r>
            <w:r w:rsidRPr="00AF1885">
              <w:rPr>
                <w:rFonts w:ascii="Calibri" w:eastAsia="Times New Roman" w:hAnsi="Calibri" w:cs="Calibri"/>
                <w:color w:val="000000"/>
                <w:sz w:val="20"/>
                <w:szCs w:val="20"/>
                <w:lang w:eastAsia="pt-BR"/>
              </w:rPr>
              <w:br/>
              <w:t>-Técnico Serviço Manutenção</w:t>
            </w:r>
          </w:p>
        </w:tc>
        <w:tc>
          <w:tcPr>
            <w:tcW w:w="1080" w:type="dxa"/>
            <w:tcBorders>
              <w:top w:val="nil"/>
              <w:left w:val="nil"/>
              <w:bottom w:val="single" w:sz="4" w:space="0" w:color="BFBFBF"/>
              <w:right w:val="nil"/>
            </w:tcBorders>
            <w:shd w:val="clear" w:color="000000" w:fill="F2F2F2"/>
            <w:noWrap/>
            <w:vAlign w:val="center"/>
            <w:hideMark/>
          </w:tcPr>
          <w:p w14:paraId="512D5AFE"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1</w:t>
            </w:r>
          </w:p>
        </w:tc>
        <w:tc>
          <w:tcPr>
            <w:tcW w:w="1520" w:type="dxa"/>
            <w:tcBorders>
              <w:top w:val="nil"/>
              <w:left w:val="nil"/>
              <w:bottom w:val="single" w:sz="4" w:space="0" w:color="BFBFBF"/>
              <w:right w:val="nil"/>
            </w:tcBorders>
            <w:shd w:val="clear" w:color="000000" w:fill="F2F2F2"/>
            <w:noWrap/>
            <w:vAlign w:val="center"/>
            <w:hideMark/>
          </w:tcPr>
          <w:p w14:paraId="5408A8B3"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7.254,02 </w:t>
            </w:r>
          </w:p>
        </w:tc>
      </w:tr>
      <w:tr w:rsidR="00AF1885" w:rsidRPr="00AF1885" w14:paraId="5F7D413A" w14:textId="77777777" w:rsidTr="00AF1885">
        <w:trPr>
          <w:trHeight w:val="3420"/>
        </w:trPr>
        <w:tc>
          <w:tcPr>
            <w:tcW w:w="3220" w:type="dxa"/>
            <w:tcBorders>
              <w:top w:val="nil"/>
              <w:left w:val="nil"/>
              <w:bottom w:val="single" w:sz="4" w:space="0" w:color="BFBFBF"/>
              <w:right w:val="nil"/>
            </w:tcBorders>
            <w:shd w:val="clear" w:color="000000" w:fill="FFFFFF"/>
            <w:vAlign w:val="center"/>
            <w:hideMark/>
          </w:tcPr>
          <w:p w14:paraId="14B10647"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Funções Administrativas</w:t>
            </w:r>
            <w:r w:rsidRPr="00AF1885">
              <w:rPr>
                <w:rFonts w:ascii="Calibri" w:eastAsia="Times New Roman" w:hAnsi="Calibri" w:cs="Calibri"/>
                <w:color w:val="000000"/>
                <w:sz w:val="20"/>
                <w:szCs w:val="20"/>
                <w:lang w:eastAsia="pt-BR"/>
              </w:rPr>
              <w:br/>
            </w:r>
            <w:r w:rsidRPr="00AF1885">
              <w:rPr>
                <w:rFonts w:ascii="Calibri" w:eastAsia="Times New Roman" w:hAnsi="Calibri" w:cs="Calibri"/>
                <w:color w:val="000000"/>
                <w:sz w:val="16"/>
                <w:szCs w:val="16"/>
                <w:lang w:eastAsia="pt-BR"/>
              </w:rPr>
              <w:t>Nível de Comissionamento H</w:t>
            </w:r>
          </w:p>
        </w:tc>
        <w:tc>
          <w:tcPr>
            <w:tcW w:w="3680" w:type="dxa"/>
            <w:tcBorders>
              <w:top w:val="nil"/>
              <w:left w:val="nil"/>
              <w:bottom w:val="single" w:sz="4" w:space="0" w:color="BFBFBF"/>
              <w:right w:val="nil"/>
            </w:tcBorders>
            <w:shd w:val="clear" w:color="000000" w:fill="FFFFFF"/>
            <w:vAlign w:val="center"/>
            <w:hideMark/>
          </w:tcPr>
          <w:p w14:paraId="664A924E"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-Analista</w:t>
            </w:r>
            <w:r w:rsidRPr="00AF1885">
              <w:rPr>
                <w:rFonts w:ascii="Calibri" w:eastAsia="Times New Roman" w:hAnsi="Calibri" w:cs="Calibri"/>
                <w:color w:val="000000"/>
                <w:sz w:val="20"/>
                <w:szCs w:val="20"/>
                <w:lang w:eastAsia="pt-BR"/>
              </w:rPr>
              <w:br/>
              <w:t>-Assessor Jurídico</w:t>
            </w:r>
            <w:r w:rsidRPr="00AF1885">
              <w:rPr>
                <w:rFonts w:ascii="Calibri" w:eastAsia="Times New Roman" w:hAnsi="Calibri" w:cs="Calibri"/>
                <w:color w:val="000000"/>
                <w:sz w:val="20"/>
                <w:szCs w:val="20"/>
                <w:lang w:eastAsia="pt-BR"/>
              </w:rPr>
              <w:br/>
              <w:t>-Assistente</w:t>
            </w:r>
            <w:r w:rsidRPr="00AF1885">
              <w:rPr>
                <w:rFonts w:ascii="Calibri" w:eastAsia="Times New Roman" w:hAnsi="Calibri" w:cs="Calibri"/>
                <w:color w:val="000000"/>
                <w:sz w:val="20"/>
                <w:szCs w:val="20"/>
                <w:lang w:eastAsia="pt-BR"/>
              </w:rPr>
              <w:br/>
              <w:t>-Auditor</w:t>
            </w:r>
            <w:r w:rsidRPr="00AF1885">
              <w:rPr>
                <w:rFonts w:ascii="Calibri" w:eastAsia="Times New Roman" w:hAnsi="Calibri" w:cs="Calibri"/>
                <w:color w:val="000000"/>
                <w:sz w:val="20"/>
                <w:szCs w:val="20"/>
                <w:lang w:eastAsia="pt-BR"/>
              </w:rPr>
              <w:br/>
              <w:t>-Auxiliar de Enfermagem do Trabalho</w:t>
            </w:r>
            <w:r w:rsidRPr="00AF1885">
              <w:rPr>
                <w:rFonts w:ascii="Calibri" w:eastAsia="Times New Roman" w:hAnsi="Calibri" w:cs="Calibri"/>
                <w:color w:val="000000"/>
                <w:sz w:val="20"/>
                <w:szCs w:val="20"/>
                <w:lang w:eastAsia="pt-BR"/>
              </w:rPr>
              <w:br/>
              <w:t>-Enfermeiro do Trabalho</w:t>
            </w:r>
            <w:r w:rsidRPr="00AF1885">
              <w:rPr>
                <w:rFonts w:ascii="Calibri" w:eastAsia="Times New Roman" w:hAnsi="Calibri" w:cs="Calibri"/>
                <w:color w:val="000000"/>
                <w:sz w:val="20"/>
                <w:szCs w:val="20"/>
                <w:lang w:eastAsia="pt-BR"/>
              </w:rPr>
              <w:br/>
              <w:t>-Engenheiro de Segurança do Trabalho</w:t>
            </w:r>
            <w:r w:rsidRPr="00AF1885">
              <w:rPr>
                <w:rFonts w:ascii="Calibri" w:eastAsia="Times New Roman" w:hAnsi="Calibri" w:cs="Calibri"/>
                <w:color w:val="000000"/>
                <w:sz w:val="20"/>
                <w:szCs w:val="20"/>
                <w:lang w:eastAsia="pt-BR"/>
              </w:rPr>
              <w:br/>
              <w:t>-Técnico em Informática</w:t>
            </w:r>
            <w:r w:rsidRPr="00AF1885">
              <w:rPr>
                <w:rFonts w:ascii="Calibri" w:eastAsia="Times New Roman" w:hAnsi="Calibri" w:cs="Calibri"/>
                <w:color w:val="000000"/>
                <w:sz w:val="20"/>
                <w:szCs w:val="20"/>
                <w:lang w:eastAsia="pt-BR"/>
              </w:rPr>
              <w:br/>
              <w:t>-Técnico em Enfermagem do Trabalho</w:t>
            </w:r>
            <w:r w:rsidRPr="00AF1885">
              <w:rPr>
                <w:rFonts w:ascii="Calibri" w:eastAsia="Times New Roman" w:hAnsi="Calibri" w:cs="Calibri"/>
                <w:color w:val="000000"/>
                <w:sz w:val="20"/>
                <w:szCs w:val="20"/>
                <w:lang w:eastAsia="pt-BR"/>
              </w:rPr>
              <w:br/>
              <w:t>-Técnico em Segurança do Trabalho</w:t>
            </w:r>
            <w:r w:rsidRPr="00AF1885">
              <w:rPr>
                <w:rFonts w:ascii="Calibri" w:eastAsia="Times New Roman" w:hAnsi="Calibri" w:cs="Calibri"/>
                <w:color w:val="000000"/>
                <w:sz w:val="20"/>
                <w:szCs w:val="20"/>
                <w:lang w:eastAsia="pt-BR"/>
              </w:rPr>
              <w:br/>
              <w:t>-Técnico Serviço Manutenção</w:t>
            </w:r>
          </w:p>
        </w:tc>
        <w:tc>
          <w:tcPr>
            <w:tcW w:w="1080" w:type="dxa"/>
            <w:tcBorders>
              <w:top w:val="nil"/>
              <w:left w:val="nil"/>
              <w:bottom w:val="single" w:sz="4" w:space="0" w:color="BFBFBF"/>
              <w:right w:val="nil"/>
            </w:tcBorders>
            <w:shd w:val="clear" w:color="000000" w:fill="FFFFFF"/>
            <w:noWrap/>
            <w:vAlign w:val="center"/>
            <w:hideMark/>
          </w:tcPr>
          <w:p w14:paraId="55DBA33C"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1</w:t>
            </w:r>
          </w:p>
        </w:tc>
        <w:tc>
          <w:tcPr>
            <w:tcW w:w="1520" w:type="dxa"/>
            <w:tcBorders>
              <w:top w:val="nil"/>
              <w:left w:val="nil"/>
              <w:bottom w:val="single" w:sz="4" w:space="0" w:color="BFBFBF"/>
              <w:right w:val="nil"/>
            </w:tcBorders>
            <w:shd w:val="clear" w:color="000000" w:fill="FFFFFF"/>
            <w:noWrap/>
            <w:vAlign w:val="center"/>
            <w:hideMark/>
          </w:tcPr>
          <w:p w14:paraId="66121A06"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6.005,69 </w:t>
            </w:r>
          </w:p>
        </w:tc>
      </w:tr>
      <w:tr w:rsidR="00AF1885" w:rsidRPr="00AF1885" w14:paraId="627BFDA4" w14:textId="77777777" w:rsidTr="00AF1885">
        <w:trPr>
          <w:trHeight w:val="576"/>
        </w:trPr>
        <w:tc>
          <w:tcPr>
            <w:tcW w:w="3220" w:type="dxa"/>
            <w:tcBorders>
              <w:top w:val="nil"/>
              <w:left w:val="nil"/>
              <w:bottom w:val="single" w:sz="4" w:space="0" w:color="BFBFBF"/>
              <w:right w:val="nil"/>
            </w:tcBorders>
            <w:shd w:val="clear" w:color="000000" w:fill="F2F2F2"/>
            <w:vAlign w:val="center"/>
            <w:hideMark/>
          </w:tcPr>
          <w:p w14:paraId="633C413C"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Empregos em Comissão</w:t>
            </w:r>
          </w:p>
        </w:tc>
        <w:tc>
          <w:tcPr>
            <w:tcW w:w="3680" w:type="dxa"/>
            <w:tcBorders>
              <w:top w:val="nil"/>
              <w:left w:val="nil"/>
              <w:bottom w:val="single" w:sz="4" w:space="0" w:color="BFBFBF"/>
              <w:right w:val="nil"/>
            </w:tcBorders>
            <w:shd w:val="clear" w:color="000000" w:fill="F2F2F2"/>
            <w:vAlign w:val="center"/>
            <w:hideMark/>
          </w:tcPr>
          <w:p w14:paraId="199F7B9B"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Assessor</w:t>
            </w:r>
          </w:p>
        </w:tc>
        <w:tc>
          <w:tcPr>
            <w:tcW w:w="1080" w:type="dxa"/>
            <w:tcBorders>
              <w:top w:val="nil"/>
              <w:left w:val="nil"/>
              <w:bottom w:val="single" w:sz="4" w:space="0" w:color="BFBFBF"/>
              <w:right w:val="nil"/>
            </w:tcBorders>
            <w:shd w:val="clear" w:color="000000" w:fill="F2F2F2"/>
            <w:noWrap/>
            <w:vAlign w:val="center"/>
            <w:hideMark/>
          </w:tcPr>
          <w:p w14:paraId="1655B6DD"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1</w:t>
            </w:r>
          </w:p>
        </w:tc>
        <w:tc>
          <w:tcPr>
            <w:tcW w:w="1520" w:type="dxa"/>
            <w:tcBorders>
              <w:top w:val="nil"/>
              <w:left w:val="nil"/>
              <w:bottom w:val="single" w:sz="4" w:space="0" w:color="BFBFBF"/>
              <w:right w:val="nil"/>
            </w:tcBorders>
            <w:shd w:val="clear" w:color="000000" w:fill="F2F2F2"/>
            <w:noWrap/>
            <w:vAlign w:val="center"/>
            <w:hideMark/>
          </w:tcPr>
          <w:p w14:paraId="7154EFAF"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22.616,99 </w:t>
            </w:r>
          </w:p>
        </w:tc>
      </w:tr>
      <w:tr w:rsidR="00AF1885" w:rsidRPr="00AF1885" w14:paraId="3FC7F981" w14:textId="77777777" w:rsidTr="00AF1885">
        <w:trPr>
          <w:trHeight w:val="696"/>
        </w:trPr>
        <w:tc>
          <w:tcPr>
            <w:tcW w:w="3220" w:type="dxa"/>
            <w:tcBorders>
              <w:top w:val="nil"/>
              <w:left w:val="nil"/>
              <w:bottom w:val="single" w:sz="4" w:space="0" w:color="BFBFBF"/>
              <w:right w:val="nil"/>
            </w:tcBorders>
            <w:shd w:val="clear" w:color="000000" w:fill="FFFFFF"/>
            <w:vAlign w:val="center"/>
            <w:hideMark/>
          </w:tcPr>
          <w:p w14:paraId="49BE5A2A"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Sem Função</w:t>
            </w:r>
          </w:p>
        </w:tc>
        <w:tc>
          <w:tcPr>
            <w:tcW w:w="3680" w:type="dxa"/>
            <w:tcBorders>
              <w:top w:val="nil"/>
              <w:left w:val="nil"/>
              <w:bottom w:val="single" w:sz="4" w:space="0" w:color="BFBFBF"/>
              <w:right w:val="nil"/>
            </w:tcBorders>
            <w:shd w:val="clear" w:color="000000" w:fill="FFFFFF"/>
            <w:vAlign w:val="center"/>
            <w:hideMark/>
          </w:tcPr>
          <w:p w14:paraId="2695D214" w14:textId="77777777" w:rsidR="00AF1885" w:rsidRPr="00AF1885" w:rsidRDefault="00AF1885" w:rsidP="00AF1885">
            <w:pPr>
              <w:spacing w:after="0" w:line="240" w:lineRule="auto"/>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-Empregados sem função comissionada</w:t>
            </w:r>
          </w:p>
        </w:tc>
        <w:tc>
          <w:tcPr>
            <w:tcW w:w="1080" w:type="dxa"/>
            <w:tcBorders>
              <w:top w:val="nil"/>
              <w:left w:val="nil"/>
              <w:bottom w:val="single" w:sz="4" w:space="0" w:color="BFBFBF"/>
              <w:right w:val="nil"/>
            </w:tcBorders>
            <w:shd w:val="clear" w:color="000000" w:fill="FFFFFF"/>
            <w:noWrap/>
            <w:vAlign w:val="center"/>
            <w:hideMark/>
          </w:tcPr>
          <w:p w14:paraId="5CA9146B"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1,5</w:t>
            </w:r>
          </w:p>
        </w:tc>
        <w:tc>
          <w:tcPr>
            <w:tcW w:w="1520" w:type="dxa"/>
            <w:tcBorders>
              <w:top w:val="nil"/>
              <w:left w:val="nil"/>
              <w:bottom w:val="single" w:sz="4" w:space="0" w:color="BFBFBF"/>
              <w:right w:val="nil"/>
            </w:tcBorders>
            <w:shd w:val="clear" w:color="000000" w:fill="FFFFFF"/>
            <w:noWrap/>
            <w:vAlign w:val="center"/>
            <w:hideMark/>
          </w:tcPr>
          <w:p w14:paraId="5D812DD4" w14:textId="77777777" w:rsidR="00AF1885" w:rsidRPr="00AF1885" w:rsidRDefault="00AF1885" w:rsidP="00AF1885">
            <w:pPr>
              <w:spacing w:after="0" w:line="240" w:lineRule="auto"/>
              <w:jc w:val="center"/>
              <w:rPr>
                <w:rFonts w:ascii="Calibri" w:eastAsia="Times New Roman" w:hAnsi="Calibri" w:cs="Calibri"/>
                <w:color w:val="000000"/>
                <w:sz w:val="20"/>
                <w:szCs w:val="20"/>
                <w:lang w:eastAsia="pt-BR"/>
              </w:rPr>
            </w:pPr>
            <w:r w:rsidRPr="00AF1885">
              <w:rPr>
                <w:rFonts w:ascii="Calibri" w:eastAsia="Times New Roman" w:hAnsi="Calibri" w:cs="Calibri"/>
                <w:color w:val="000000"/>
                <w:sz w:val="20"/>
                <w:szCs w:val="20"/>
                <w:lang w:eastAsia="pt-BR"/>
              </w:rPr>
              <w:t xml:space="preserve"> R$        3.874,64 </w:t>
            </w:r>
          </w:p>
        </w:tc>
      </w:tr>
    </w:tbl>
    <w:p w14:paraId="68681960" w14:textId="77777777" w:rsidR="00DE6141" w:rsidRPr="006A5099" w:rsidRDefault="00DE6141" w:rsidP="006A5099">
      <w:pPr>
        <w:spacing w:before="200" w:after="200" w:line="360" w:lineRule="auto"/>
        <w:jc w:val="both"/>
        <w:rPr>
          <w:rFonts w:ascii="Segoe UI" w:hAnsi="Segoe UI" w:cs="Segoe UI"/>
          <w:color w:val="000000" w:themeColor="text1"/>
          <w:sz w:val="20"/>
          <w:szCs w:val="20"/>
        </w:rPr>
      </w:pPr>
    </w:p>
    <w:p w14:paraId="3BDEF75A" w14:textId="0A863F6B" w:rsidR="00AE449A" w:rsidRPr="00175518" w:rsidRDefault="00175518" w:rsidP="00175518">
      <w:pPr>
        <w:pStyle w:val="Recuodecorpodetexto"/>
        <w:spacing w:before="200" w:after="200"/>
        <w:ind w:firstLine="0"/>
        <w:rPr>
          <w:rFonts w:ascii="Segoe UI" w:hAnsi="Segoe UI" w:cs="Segoe UI"/>
          <w:b/>
          <w:bCs/>
          <w:caps/>
          <w:color w:val="000000" w:themeColor="text1"/>
          <w:sz w:val="20"/>
        </w:rPr>
      </w:pPr>
      <w:r w:rsidRPr="00175518">
        <w:rPr>
          <w:rFonts w:ascii="Segoe UI" w:hAnsi="Segoe UI" w:cs="Segoe UI"/>
          <w:b/>
          <w:bCs/>
          <w:caps/>
          <w:color w:val="000000" w:themeColor="text1"/>
          <w:sz w:val="20"/>
        </w:rPr>
        <w:t xml:space="preserve">DA </w:t>
      </w:r>
      <w:r w:rsidR="00AE449A" w:rsidRPr="00175518">
        <w:rPr>
          <w:rFonts w:ascii="Segoe UI" w:hAnsi="Segoe UI" w:cs="Segoe UI"/>
          <w:b/>
          <w:bCs/>
          <w:caps/>
          <w:color w:val="000000" w:themeColor="text1"/>
          <w:sz w:val="20"/>
        </w:rPr>
        <w:t>Régua de Atingimento da Meta</w:t>
      </w:r>
    </w:p>
    <w:p w14:paraId="558CE1C5" w14:textId="77777777" w:rsidR="00F40163" w:rsidRPr="0075741F" w:rsidRDefault="00F40163" w:rsidP="0010090F">
      <w:pPr>
        <w:spacing w:before="200" w:after="200" w:line="360" w:lineRule="auto"/>
        <w:jc w:val="both"/>
        <w:rPr>
          <w:rFonts w:ascii="Segoe UI" w:hAnsi="Segoe UI" w:cs="Segoe UI"/>
          <w:color w:val="000000" w:themeColor="text1"/>
          <w:sz w:val="20"/>
          <w:szCs w:val="20"/>
        </w:rPr>
      </w:pPr>
      <w:r w:rsidRPr="0075741F">
        <w:rPr>
          <w:rFonts w:ascii="Segoe UI" w:hAnsi="Segoe UI" w:cs="Segoe UI"/>
          <w:color w:val="000000" w:themeColor="text1"/>
          <w:sz w:val="20"/>
          <w:szCs w:val="20"/>
        </w:rPr>
        <w:t>A Régua de Atingimento é o percentual de Targets a ser distribuído, variando conforme o alcance das metas pelo empregado.</w:t>
      </w:r>
    </w:p>
    <w:p w14:paraId="53D28B3B" w14:textId="47EB507E" w:rsidR="00F40163" w:rsidRDefault="00590F15" w:rsidP="0010090F">
      <w:pPr>
        <w:spacing w:before="200" w:after="200" w:line="360" w:lineRule="auto"/>
        <w:jc w:val="both"/>
        <w:rPr>
          <w:rFonts w:ascii="Segoe UI" w:hAnsi="Segoe UI" w:cs="Segoe UI"/>
          <w:color w:val="000000" w:themeColor="text1"/>
          <w:sz w:val="20"/>
          <w:szCs w:val="20"/>
        </w:rPr>
      </w:pPr>
      <w:r w:rsidRPr="0075741F">
        <w:rPr>
          <w:rFonts w:ascii="Segoe UI" w:hAnsi="Segoe UI" w:cs="Segoe UI"/>
          <w:color w:val="000000" w:themeColor="text1"/>
          <w:sz w:val="20"/>
          <w:szCs w:val="20"/>
        </w:rPr>
        <w:t xml:space="preserve">A partir do gatilho da quarta faixa de atingimento de Lucro Líquido </w:t>
      </w:r>
      <w:r w:rsidR="00A4140A">
        <w:rPr>
          <w:rFonts w:ascii="Segoe UI" w:hAnsi="Segoe UI" w:cs="Segoe UI"/>
          <w:color w:val="000000" w:themeColor="text1"/>
          <w:sz w:val="20"/>
          <w:szCs w:val="20"/>
        </w:rPr>
        <w:t xml:space="preserve">Recorrente </w:t>
      </w:r>
      <w:r w:rsidRPr="0075741F">
        <w:rPr>
          <w:rFonts w:ascii="Segoe UI" w:hAnsi="Segoe UI" w:cs="Segoe UI"/>
          <w:color w:val="000000" w:themeColor="text1"/>
          <w:sz w:val="20"/>
          <w:szCs w:val="20"/>
        </w:rPr>
        <w:t>pelo Banco</w:t>
      </w:r>
      <w:r w:rsidR="0075741F" w:rsidRPr="0075741F">
        <w:rPr>
          <w:rFonts w:ascii="Segoe UI" w:hAnsi="Segoe UI" w:cs="Segoe UI"/>
          <w:color w:val="000000" w:themeColor="text1"/>
          <w:sz w:val="20"/>
          <w:szCs w:val="20"/>
        </w:rPr>
        <w:t xml:space="preserve"> e a</w:t>
      </w:r>
      <w:r w:rsidR="00F40163" w:rsidRPr="0075741F">
        <w:rPr>
          <w:rFonts w:ascii="Segoe UI" w:hAnsi="Segoe UI" w:cs="Segoe UI"/>
          <w:color w:val="000000" w:themeColor="text1"/>
          <w:sz w:val="20"/>
          <w:szCs w:val="20"/>
        </w:rPr>
        <w:t xml:space="preserve"> partir do atingimento de </w:t>
      </w:r>
      <w:r w:rsidR="00A749B8" w:rsidRPr="0075741F">
        <w:rPr>
          <w:rFonts w:ascii="Segoe UI" w:hAnsi="Segoe UI" w:cs="Segoe UI"/>
          <w:color w:val="000000" w:themeColor="text1"/>
          <w:sz w:val="20"/>
          <w:szCs w:val="20"/>
        </w:rPr>
        <w:t>7</w:t>
      </w:r>
      <w:r w:rsidR="00F40163" w:rsidRPr="0075741F">
        <w:rPr>
          <w:rFonts w:ascii="Segoe UI" w:hAnsi="Segoe UI" w:cs="Segoe UI"/>
          <w:color w:val="000000" w:themeColor="text1"/>
          <w:sz w:val="20"/>
          <w:szCs w:val="20"/>
        </w:rPr>
        <w:t>0% da meta, considerando o consolidado dos indicadores, inicia-se o pagamento da PPR. Nos intervalos desses parâmetros, o cálculo ocorre pela proporção da meta alcançada, e, ao extrapolar as metas, os valores também poderão aumentar, conforme detalhado na</w:t>
      </w:r>
      <w:r w:rsidR="00130DAB">
        <w:rPr>
          <w:rFonts w:ascii="Segoe UI" w:hAnsi="Segoe UI" w:cs="Segoe UI"/>
          <w:color w:val="000000" w:themeColor="text1"/>
          <w:sz w:val="20"/>
          <w:szCs w:val="20"/>
        </w:rPr>
        <w:t>s</w:t>
      </w:r>
      <w:r w:rsidR="00F40163" w:rsidRPr="0075741F">
        <w:rPr>
          <w:rFonts w:ascii="Segoe UI" w:hAnsi="Segoe UI" w:cs="Segoe UI"/>
          <w:color w:val="000000" w:themeColor="text1"/>
          <w:sz w:val="20"/>
          <w:szCs w:val="20"/>
        </w:rPr>
        <w:t xml:space="preserve"> tabela</w:t>
      </w:r>
      <w:r w:rsidR="00130DAB">
        <w:rPr>
          <w:rFonts w:ascii="Segoe UI" w:hAnsi="Segoe UI" w:cs="Segoe UI"/>
          <w:color w:val="000000" w:themeColor="text1"/>
          <w:sz w:val="20"/>
          <w:szCs w:val="20"/>
        </w:rPr>
        <w:t>s</w:t>
      </w:r>
      <w:r w:rsidR="00F40163" w:rsidRPr="0075741F">
        <w:rPr>
          <w:rFonts w:ascii="Segoe UI" w:hAnsi="Segoe UI" w:cs="Segoe UI"/>
          <w:color w:val="000000" w:themeColor="text1"/>
          <w:sz w:val="20"/>
          <w:szCs w:val="20"/>
        </w:rPr>
        <w:t xml:space="preserve"> a seguir:</w:t>
      </w:r>
    </w:p>
    <w:p w14:paraId="0D87CFBB" w14:textId="0778D707" w:rsidR="00130DAB" w:rsidRDefault="0074658D" w:rsidP="00F40163">
      <w:pPr>
        <w:spacing w:line="360" w:lineRule="auto"/>
        <w:jc w:val="both"/>
        <w:rPr>
          <w:rFonts w:ascii="Segoe UI" w:hAnsi="Segoe UI" w:cs="Segoe UI"/>
          <w:color w:val="000000" w:themeColor="text1"/>
          <w:sz w:val="20"/>
          <w:szCs w:val="20"/>
        </w:rPr>
      </w:pPr>
      <w:r>
        <w:rPr>
          <w:noProof/>
        </w:rPr>
        <w:drawing>
          <wp:inline distT="0" distB="0" distL="0" distR="0" wp14:anchorId="53381FE7" wp14:editId="438E7F3E">
            <wp:extent cx="5400040" cy="30708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00040" cy="3070860"/>
                    </a:xfrm>
                    <a:prstGeom prst="rect">
                      <a:avLst/>
                    </a:prstGeom>
                    <a:noFill/>
                    <a:ln>
                      <a:noFill/>
                    </a:ln>
                  </pic:spPr>
                </pic:pic>
              </a:graphicData>
            </a:graphic>
          </wp:inline>
        </w:drawing>
      </w:r>
    </w:p>
    <w:p w14:paraId="42A554AB" w14:textId="5D5B5F59" w:rsidR="00AE449A" w:rsidRDefault="00AE449A" w:rsidP="00AE449A">
      <w:pPr>
        <w:pStyle w:val="Recuodecorpodetexto"/>
        <w:ind w:firstLine="0"/>
        <w:rPr>
          <w:rFonts w:ascii="Segoe UI" w:hAnsi="Segoe UI" w:cs="Segoe UI"/>
          <w:color w:val="000000" w:themeColor="text1"/>
          <w:sz w:val="20"/>
        </w:rPr>
      </w:pPr>
    </w:p>
    <w:tbl>
      <w:tblPr>
        <w:tblW w:w="10440" w:type="dxa"/>
        <w:tblCellMar>
          <w:left w:w="70" w:type="dxa"/>
          <w:right w:w="70" w:type="dxa"/>
        </w:tblCellMar>
        <w:tblLook w:val="04A0" w:firstRow="1" w:lastRow="0" w:firstColumn="1" w:lastColumn="0" w:noHBand="0" w:noVBand="1"/>
      </w:tblPr>
      <w:tblGrid>
        <w:gridCol w:w="3060"/>
        <w:gridCol w:w="1160"/>
        <w:gridCol w:w="1240"/>
        <w:gridCol w:w="1300"/>
        <w:gridCol w:w="960"/>
        <w:gridCol w:w="1320"/>
        <w:gridCol w:w="1400"/>
      </w:tblGrid>
      <w:tr w:rsidR="0076182B" w:rsidRPr="00A47E2B" w14:paraId="6435F422" w14:textId="77777777" w:rsidTr="0076182B">
        <w:trPr>
          <w:trHeight w:val="288"/>
          <w:tblHeader/>
        </w:trPr>
        <w:tc>
          <w:tcPr>
            <w:tcW w:w="3060" w:type="dxa"/>
            <w:vMerge w:val="restart"/>
            <w:tcBorders>
              <w:top w:val="nil"/>
              <w:left w:val="nil"/>
              <w:bottom w:val="dotted" w:sz="4" w:space="0" w:color="D9D9D9"/>
              <w:right w:val="nil"/>
            </w:tcBorders>
            <w:shd w:val="clear" w:color="auto" w:fill="2E74B5" w:themeFill="accent5" w:themeFillShade="BF"/>
            <w:vAlign w:val="center"/>
            <w:hideMark/>
          </w:tcPr>
          <w:p w14:paraId="406282B2"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Grupos de Funções</w:t>
            </w:r>
          </w:p>
        </w:tc>
        <w:tc>
          <w:tcPr>
            <w:tcW w:w="1160" w:type="dxa"/>
            <w:tcBorders>
              <w:top w:val="nil"/>
              <w:left w:val="nil"/>
              <w:bottom w:val="nil"/>
              <w:right w:val="nil"/>
            </w:tcBorders>
            <w:shd w:val="clear" w:color="auto" w:fill="2E74B5" w:themeFill="accent5" w:themeFillShade="BF"/>
            <w:vAlign w:val="center"/>
            <w:hideMark/>
          </w:tcPr>
          <w:p w14:paraId="1E3CC7EC"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70%</w:t>
            </w:r>
          </w:p>
        </w:tc>
        <w:tc>
          <w:tcPr>
            <w:tcW w:w="1240" w:type="dxa"/>
            <w:tcBorders>
              <w:top w:val="nil"/>
              <w:left w:val="nil"/>
              <w:bottom w:val="nil"/>
              <w:right w:val="nil"/>
            </w:tcBorders>
            <w:shd w:val="clear" w:color="auto" w:fill="2E74B5" w:themeFill="accent5" w:themeFillShade="BF"/>
            <w:vAlign w:val="center"/>
            <w:hideMark/>
          </w:tcPr>
          <w:p w14:paraId="1CCE79BC"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80%</w:t>
            </w:r>
          </w:p>
        </w:tc>
        <w:tc>
          <w:tcPr>
            <w:tcW w:w="1300" w:type="dxa"/>
            <w:tcBorders>
              <w:top w:val="nil"/>
              <w:left w:val="nil"/>
              <w:bottom w:val="nil"/>
              <w:right w:val="nil"/>
            </w:tcBorders>
            <w:shd w:val="clear" w:color="auto" w:fill="2E74B5" w:themeFill="accent5" w:themeFillShade="BF"/>
            <w:vAlign w:val="center"/>
            <w:hideMark/>
          </w:tcPr>
          <w:p w14:paraId="3820E256"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90%</w:t>
            </w:r>
          </w:p>
        </w:tc>
        <w:tc>
          <w:tcPr>
            <w:tcW w:w="960" w:type="dxa"/>
            <w:tcBorders>
              <w:top w:val="nil"/>
              <w:left w:val="nil"/>
              <w:bottom w:val="nil"/>
              <w:right w:val="nil"/>
            </w:tcBorders>
            <w:shd w:val="clear" w:color="auto" w:fill="2E74B5" w:themeFill="accent5" w:themeFillShade="BF"/>
            <w:vAlign w:val="center"/>
            <w:hideMark/>
          </w:tcPr>
          <w:p w14:paraId="6097CA31" w14:textId="77777777" w:rsidR="00A47E2B" w:rsidRPr="00A47E2B" w:rsidRDefault="00A47E2B" w:rsidP="00A47E2B">
            <w:pPr>
              <w:spacing w:after="0" w:line="240" w:lineRule="auto"/>
              <w:jc w:val="center"/>
              <w:rPr>
                <w:rFonts w:ascii="Calibri" w:eastAsia="Times New Roman" w:hAnsi="Calibri" w:cs="Calibri"/>
                <w:color w:val="FFFFFF" w:themeColor="background1"/>
                <w:sz w:val="16"/>
                <w:szCs w:val="16"/>
                <w:lang w:eastAsia="pt-BR"/>
              </w:rPr>
            </w:pPr>
            <w:r w:rsidRPr="00A47E2B">
              <w:rPr>
                <w:rFonts w:ascii="Calibri" w:eastAsia="Times New Roman" w:hAnsi="Calibri" w:cs="Calibri"/>
                <w:color w:val="FFFFFF" w:themeColor="background1"/>
                <w:sz w:val="16"/>
                <w:szCs w:val="16"/>
                <w:lang w:eastAsia="pt-BR"/>
              </w:rPr>
              <w:t> </w:t>
            </w:r>
            <w:r w:rsidRPr="00A47E2B">
              <w:rPr>
                <w:rFonts w:ascii="Calibri" w:eastAsia="Times New Roman" w:hAnsi="Calibri" w:cs="Calibri"/>
                <w:b/>
                <w:bCs/>
                <w:color w:val="FFFFFF" w:themeColor="background1"/>
                <w:sz w:val="16"/>
                <w:szCs w:val="16"/>
                <w:lang w:eastAsia="pt-BR"/>
              </w:rPr>
              <w:t>Target</w:t>
            </w:r>
          </w:p>
        </w:tc>
        <w:tc>
          <w:tcPr>
            <w:tcW w:w="1320" w:type="dxa"/>
            <w:tcBorders>
              <w:top w:val="nil"/>
              <w:left w:val="nil"/>
              <w:bottom w:val="nil"/>
              <w:right w:val="nil"/>
            </w:tcBorders>
            <w:shd w:val="clear" w:color="auto" w:fill="2E74B5" w:themeFill="accent5" w:themeFillShade="BF"/>
            <w:vAlign w:val="center"/>
            <w:hideMark/>
          </w:tcPr>
          <w:p w14:paraId="3A34A88C"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110%</w:t>
            </w:r>
          </w:p>
        </w:tc>
        <w:tc>
          <w:tcPr>
            <w:tcW w:w="1400" w:type="dxa"/>
            <w:tcBorders>
              <w:top w:val="nil"/>
              <w:left w:val="nil"/>
              <w:bottom w:val="nil"/>
              <w:right w:val="nil"/>
            </w:tcBorders>
            <w:shd w:val="clear" w:color="auto" w:fill="2E74B5" w:themeFill="accent5" w:themeFillShade="BF"/>
            <w:vAlign w:val="center"/>
            <w:hideMark/>
          </w:tcPr>
          <w:p w14:paraId="1132C82C"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120%</w:t>
            </w:r>
          </w:p>
        </w:tc>
      </w:tr>
      <w:tr w:rsidR="0076182B" w:rsidRPr="00A47E2B" w14:paraId="42AE85D1" w14:textId="77777777" w:rsidTr="0076182B">
        <w:trPr>
          <w:trHeight w:val="288"/>
          <w:tblHeader/>
        </w:trPr>
        <w:tc>
          <w:tcPr>
            <w:tcW w:w="3060" w:type="dxa"/>
            <w:vMerge/>
            <w:tcBorders>
              <w:top w:val="nil"/>
              <w:left w:val="nil"/>
              <w:bottom w:val="dotted" w:sz="4" w:space="0" w:color="D9D9D9"/>
              <w:right w:val="nil"/>
            </w:tcBorders>
            <w:shd w:val="clear" w:color="auto" w:fill="2E74B5" w:themeFill="accent5" w:themeFillShade="BF"/>
            <w:vAlign w:val="center"/>
            <w:hideMark/>
          </w:tcPr>
          <w:p w14:paraId="04E3A661" w14:textId="77777777" w:rsidR="00A47E2B" w:rsidRPr="00A47E2B" w:rsidRDefault="00A47E2B" w:rsidP="00A47E2B">
            <w:pPr>
              <w:spacing w:after="0" w:line="240" w:lineRule="auto"/>
              <w:rPr>
                <w:rFonts w:ascii="Calibri" w:eastAsia="Times New Roman" w:hAnsi="Calibri" w:cs="Calibri"/>
                <w:b/>
                <w:bCs/>
                <w:color w:val="FFFFFF" w:themeColor="background1"/>
                <w:sz w:val="16"/>
                <w:szCs w:val="16"/>
                <w:lang w:eastAsia="pt-BR"/>
              </w:rPr>
            </w:pPr>
          </w:p>
        </w:tc>
        <w:tc>
          <w:tcPr>
            <w:tcW w:w="1160" w:type="dxa"/>
            <w:tcBorders>
              <w:top w:val="nil"/>
              <w:left w:val="nil"/>
              <w:bottom w:val="nil"/>
              <w:right w:val="nil"/>
            </w:tcBorders>
            <w:shd w:val="clear" w:color="auto" w:fill="2E74B5" w:themeFill="accent5" w:themeFillShade="BF"/>
            <w:vAlign w:val="center"/>
            <w:hideMark/>
          </w:tcPr>
          <w:p w14:paraId="2C728B8A"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 xml:space="preserve">Atingimento = </w:t>
            </w:r>
          </w:p>
        </w:tc>
        <w:tc>
          <w:tcPr>
            <w:tcW w:w="1240" w:type="dxa"/>
            <w:tcBorders>
              <w:top w:val="nil"/>
              <w:left w:val="nil"/>
              <w:bottom w:val="nil"/>
              <w:right w:val="nil"/>
            </w:tcBorders>
            <w:shd w:val="clear" w:color="auto" w:fill="2E74B5" w:themeFill="accent5" w:themeFillShade="BF"/>
            <w:vAlign w:val="center"/>
            <w:hideMark/>
          </w:tcPr>
          <w:p w14:paraId="415FFEBB"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 xml:space="preserve">Atingimento = </w:t>
            </w:r>
          </w:p>
        </w:tc>
        <w:tc>
          <w:tcPr>
            <w:tcW w:w="1300" w:type="dxa"/>
            <w:tcBorders>
              <w:top w:val="nil"/>
              <w:left w:val="nil"/>
              <w:bottom w:val="nil"/>
              <w:right w:val="nil"/>
            </w:tcBorders>
            <w:shd w:val="clear" w:color="auto" w:fill="2E74B5" w:themeFill="accent5" w:themeFillShade="BF"/>
            <w:vAlign w:val="center"/>
            <w:hideMark/>
          </w:tcPr>
          <w:p w14:paraId="1ABC1E5B"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 xml:space="preserve">Atingimento = </w:t>
            </w:r>
          </w:p>
        </w:tc>
        <w:tc>
          <w:tcPr>
            <w:tcW w:w="960" w:type="dxa"/>
            <w:tcBorders>
              <w:top w:val="nil"/>
              <w:left w:val="nil"/>
              <w:bottom w:val="nil"/>
              <w:right w:val="nil"/>
            </w:tcBorders>
            <w:shd w:val="clear" w:color="auto" w:fill="2E74B5" w:themeFill="accent5" w:themeFillShade="BF"/>
            <w:vAlign w:val="center"/>
            <w:hideMark/>
          </w:tcPr>
          <w:p w14:paraId="3DE55B68"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 xml:space="preserve">100% da </w:t>
            </w:r>
          </w:p>
        </w:tc>
        <w:tc>
          <w:tcPr>
            <w:tcW w:w="1320" w:type="dxa"/>
            <w:tcBorders>
              <w:top w:val="nil"/>
              <w:left w:val="nil"/>
              <w:bottom w:val="nil"/>
              <w:right w:val="nil"/>
            </w:tcBorders>
            <w:shd w:val="clear" w:color="auto" w:fill="2E74B5" w:themeFill="accent5" w:themeFillShade="BF"/>
            <w:vAlign w:val="center"/>
            <w:hideMark/>
          </w:tcPr>
          <w:p w14:paraId="22F07029"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 xml:space="preserve">Atingimento = </w:t>
            </w:r>
          </w:p>
        </w:tc>
        <w:tc>
          <w:tcPr>
            <w:tcW w:w="1400" w:type="dxa"/>
            <w:tcBorders>
              <w:top w:val="nil"/>
              <w:left w:val="nil"/>
              <w:bottom w:val="nil"/>
              <w:right w:val="nil"/>
            </w:tcBorders>
            <w:shd w:val="clear" w:color="auto" w:fill="2E74B5" w:themeFill="accent5" w:themeFillShade="BF"/>
            <w:vAlign w:val="center"/>
            <w:hideMark/>
          </w:tcPr>
          <w:p w14:paraId="7D0BA464"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 xml:space="preserve">Atingimento = </w:t>
            </w:r>
          </w:p>
        </w:tc>
      </w:tr>
      <w:tr w:rsidR="0076182B" w:rsidRPr="00A47E2B" w14:paraId="49CAE43C" w14:textId="77777777" w:rsidTr="0076182B">
        <w:trPr>
          <w:trHeight w:val="708"/>
          <w:tblHeader/>
        </w:trPr>
        <w:tc>
          <w:tcPr>
            <w:tcW w:w="3060" w:type="dxa"/>
            <w:vMerge/>
            <w:tcBorders>
              <w:top w:val="nil"/>
              <w:left w:val="nil"/>
              <w:bottom w:val="dotted" w:sz="4" w:space="0" w:color="D9D9D9"/>
              <w:right w:val="nil"/>
            </w:tcBorders>
            <w:shd w:val="clear" w:color="auto" w:fill="2E74B5" w:themeFill="accent5" w:themeFillShade="BF"/>
            <w:vAlign w:val="center"/>
            <w:hideMark/>
          </w:tcPr>
          <w:p w14:paraId="3C507592" w14:textId="77777777" w:rsidR="00A47E2B" w:rsidRPr="00A47E2B" w:rsidRDefault="00A47E2B" w:rsidP="00A47E2B">
            <w:pPr>
              <w:spacing w:after="0" w:line="240" w:lineRule="auto"/>
              <w:rPr>
                <w:rFonts w:ascii="Calibri" w:eastAsia="Times New Roman" w:hAnsi="Calibri" w:cs="Calibri"/>
                <w:b/>
                <w:bCs/>
                <w:color w:val="FFFFFF" w:themeColor="background1"/>
                <w:sz w:val="16"/>
                <w:szCs w:val="16"/>
                <w:lang w:eastAsia="pt-BR"/>
              </w:rPr>
            </w:pPr>
          </w:p>
        </w:tc>
        <w:tc>
          <w:tcPr>
            <w:tcW w:w="1160" w:type="dxa"/>
            <w:tcBorders>
              <w:top w:val="nil"/>
              <w:left w:val="nil"/>
              <w:bottom w:val="dotted" w:sz="4" w:space="0" w:color="D9D9D9"/>
              <w:right w:val="nil"/>
            </w:tcBorders>
            <w:shd w:val="clear" w:color="auto" w:fill="2E74B5" w:themeFill="accent5" w:themeFillShade="BF"/>
            <w:vAlign w:val="center"/>
            <w:hideMark/>
          </w:tcPr>
          <w:p w14:paraId="75BB494A"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50% dos targets</w:t>
            </w:r>
          </w:p>
        </w:tc>
        <w:tc>
          <w:tcPr>
            <w:tcW w:w="1240" w:type="dxa"/>
            <w:tcBorders>
              <w:top w:val="nil"/>
              <w:left w:val="nil"/>
              <w:bottom w:val="dotted" w:sz="4" w:space="0" w:color="D9D9D9"/>
              <w:right w:val="nil"/>
            </w:tcBorders>
            <w:shd w:val="clear" w:color="auto" w:fill="2E74B5" w:themeFill="accent5" w:themeFillShade="BF"/>
            <w:vAlign w:val="center"/>
            <w:hideMark/>
          </w:tcPr>
          <w:p w14:paraId="2CF78143"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70% dos targets</w:t>
            </w:r>
          </w:p>
        </w:tc>
        <w:tc>
          <w:tcPr>
            <w:tcW w:w="1300" w:type="dxa"/>
            <w:tcBorders>
              <w:top w:val="nil"/>
              <w:left w:val="nil"/>
              <w:bottom w:val="dotted" w:sz="4" w:space="0" w:color="D9D9D9"/>
              <w:right w:val="nil"/>
            </w:tcBorders>
            <w:shd w:val="clear" w:color="auto" w:fill="2E74B5" w:themeFill="accent5" w:themeFillShade="BF"/>
            <w:vAlign w:val="center"/>
            <w:hideMark/>
          </w:tcPr>
          <w:p w14:paraId="2E26B80A"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85% dos targets</w:t>
            </w:r>
          </w:p>
        </w:tc>
        <w:tc>
          <w:tcPr>
            <w:tcW w:w="960" w:type="dxa"/>
            <w:tcBorders>
              <w:top w:val="nil"/>
              <w:left w:val="nil"/>
              <w:bottom w:val="dotted" w:sz="4" w:space="0" w:color="D9D9D9"/>
              <w:right w:val="nil"/>
            </w:tcBorders>
            <w:shd w:val="clear" w:color="auto" w:fill="2E74B5" w:themeFill="accent5" w:themeFillShade="BF"/>
            <w:vAlign w:val="center"/>
            <w:hideMark/>
          </w:tcPr>
          <w:p w14:paraId="1E6F232A"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meta</w:t>
            </w:r>
          </w:p>
        </w:tc>
        <w:tc>
          <w:tcPr>
            <w:tcW w:w="1320" w:type="dxa"/>
            <w:tcBorders>
              <w:top w:val="nil"/>
              <w:left w:val="nil"/>
              <w:bottom w:val="dotted" w:sz="4" w:space="0" w:color="D9D9D9"/>
              <w:right w:val="nil"/>
            </w:tcBorders>
            <w:shd w:val="clear" w:color="auto" w:fill="2E74B5" w:themeFill="accent5" w:themeFillShade="BF"/>
            <w:vAlign w:val="center"/>
            <w:hideMark/>
          </w:tcPr>
          <w:p w14:paraId="28A4B955"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125% dos targets</w:t>
            </w:r>
          </w:p>
        </w:tc>
        <w:tc>
          <w:tcPr>
            <w:tcW w:w="1400" w:type="dxa"/>
            <w:tcBorders>
              <w:top w:val="nil"/>
              <w:left w:val="nil"/>
              <w:bottom w:val="dotted" w:sz="4" w:space="0" w:color="D9D9D9"/>
              <w:right w:val="nil"/>
            </w:tcBorders>
            <w:shd w:val="clear" w:color="auto" w:fill="2E74B5" w:themeFill="accent5" w:themeFillShade="BF"/>
            <w:vAlign w:val="center"/>
            <w:hideMark/>
          </w:tcPr>
          <w:p w14:paraId="5266B8C3" w14:textId="77777777" w:rsidR="00A47E2B" w:rsidRPr="00A47E2B" w:rsidRDefault="00A47E2B" w:rsidP="00A47E2B">
            <w:pPr>
              <w:spacing w:after="0" w:line="240" w:lineRule="auto"/>
              <w:jc w:val="center"/>
              <w:rPr>
                <w:rFonts w:ascii="Calibri" w:eastAsia="Times New Roman" w:hAnsi="Calibri" w:cs="Calibri"/>
                <w:b/>
                <w:bCs/>
                <w:color w:val="FFFFFF" w:themeColor="background1"/>
                <w:sz w:val="16"/>
                <w:szCs w:val="16"/>
                <w:lang w:eastAsia="pt-BR"/>
              </w:rPr>
            </w:pPr>
            <w:r w:rsidRPr="00A47E2B">
              <w:rPr>
                <w:rFonts w:ascii="Calibri" w:eastAsia="Times New Roman" w:hAnsi="Calibri" w:cs="Calibri"/>
                <w:b/>
                <w:bCs/>
                <w:color w:val="FFFFFF" w:themeColor="background1"/>
                <w:sz w:val="16"/>
                <w:szCs w:val="16"/>
                <w:lang w:eastAsia="pt-BR"/>
              </w:rPr>
              <w:t>150% dos targets</w:t>
            </w:r>
          </w:p>
        </w:tc>
      </w:tr>
      <w:tr w:rsidR="00A47E2B" w:rsidRPr="00A47E2B" w14:paraId="05F3F965"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07A2B202"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Superintendente Regional</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0793B2E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w:t>
            </w:r>
          </w:p>
        </w:tc>
        <w:tc>
          <w:tcPr>
            <w:tcW w:w="1240" w:type="dxa"/>
            <w:tcBorders>
              <w:top w:val="nil"/>
              <w:left w:val="nil"/>
              <w:bottom w:val="single" w:sz="4" w:space="0" w:color="BFBFBF"/>
              <w:right w:val="single" w:sz="4" w:space="0" w:color="BFBFBF"/>
            </w:tcBorders>
            <w:shd w:val="clear" w:color="000000" w:fill="F2F2F2"/>
            <w:vAlign w:val="center"/>
            <w:hideMark/>
          </w:tcPr>
          <w:p w14:paraId="4842CF8F"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2,8</w:t>
            </w:r>
          </w:p>
        </w:tc>
        <w:tc>
          <w:tcPr>
            <w:tcW w:w="1300" w:type="dxa"/>
            <w:tcBorders>
              <w:top w:val="nil"/>
              <w:left w:val="nil"/>
              <w:bottom w:val="single" w:sz="4" w:space="0" w:color="BFBFBF"/>
              <w:right w:val="single" w:sz="4" w:space="0" w:color="BFBFBF"/>
            </w:tcBorders>
            <w:shd w:val="clear" w:color="000000" w:fill="F2F2F2"/>
            <w:vAlign w:val="center"/>
            <w:hideMark/>
          </w:tcPr>
          <w:p w14:paraId="46218F05"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3,4</w:t>
            </w:r>
          </w:p>
        </w:tc>
        <w:tc>
          <w:tcPr>
            <w:tcW w:w="960" w:type="dxa"/>
            <w:tcBorders>
              <w:top w:val="nil"/>
              <w:left w:val="nil"/>
              <w:bottom w:val="single" w:sz="4" w:space="0" w:color="BFBFBF"/>
              <w:right w:val="single" w:sz="4" w:space="0" w:color="BFBFBF"/>
            </w:tcBorders>
            <w:shd w:val="clear" w:color="000000" w:fill="D9E1F2"/>
            <w:vAlign w:val="center"/>
            <w:hideMark/>
          </w:tcPr>
          <w:p w14:paraId="1078862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w:t>
            </w:r>
          </w:p>
        </w:tc>
        <w:tc>
          <w:tcPr>
            <w:tcW w:w="1320" w:type="dxa"/>
            <w:tcBorders>
              <w:top w:val="nil"/>
              <w:left w:val="nil"/>
              <w:bottom w:val="single" w:sz="4" w:space="0" w:color="BFBFBF"/>
              <w:right w:val="single" w:sz="4" w:space="0" w:color="BFBFBF"/>
            </w:tcBorders>
            <w:shd w:val="clear" w:color="000000" w:fill="F2F2F2"/>
            <w:vAlign w:val="center"/>
            <w:hideMark/>
          </w:tcPr>
          <w:p w14:paraId="7ABEC5F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5</w:t>
            </w:r>
          </w:p>
        </w:tc>
        <w:tc>
          <w:tcPr>
            <w:tcW w:w="1400" w:type="dxa"/>
            <w:tcBorders>
              <w:top w:val="nil"/>
              <w:left w:val="nil"/>
              <w:bottom w:val="single" w:sz="4" w:space="0" w:color="BFBFBF"/>
              <w:right w:val="nil"/>
            </w:tcBorders>
            <w:shd w:val="clear" w:color="000000" w:fill="F2F2F2"/>
            <w:vAlign w:val="center"/>
            <w:hideMark/>
          </w:tcPr>
          <w:p w14:paraId="03BD084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6</w:t>
            </w:r>
          </w:p>
        </w:tc>
      </w:tr>
      <w:tr w:rsidR="00A47E2B" w:rsidRPr="00A47E2B" w14:paraId="71368B45"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7BB34A7D"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Superintendente Executivo</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283DA375"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w:t>
            </w:r>
          </w:p>
        </w:tc>
        <w:tc>
          <w:tcPr>
            <w:tcW w:w="1240" w:type="dxa"/>
            <w:tcBorders>
              <w:top w:val="nil"/>
              <w:left w:val="nil"/>
              <w:bottom w:val="single" w:sz="4" w:space="0" w:color="BFBFBF"/>
              <w:right w:val="single" w:sz="4" w:space="0" w:color="BFBFBF"/>
            </w:tcBorders>
            <w:shd w:val="clear" w:color="auto" w:fill="auto"/>
            <w:vAlign w:val="center"/>
            <w:hideMark/>
          </w:tcPr>
          <w:p w14:paraId="5FB497B1"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2,8</w:t>
            </w:r>
          </w:p>
        </w:tc>
        <w:tc>
          <w:tcPr>
            <w:tcW w:w="1300" w:type="dxa"/>
            <w:tcBorders>
              <w:top w:val="nil"/>
              <w:left w:val="nil"/>
              <w:bottom w:val="single" w:sz="4" w:space="0" w:color="BFBFBF"/>
              <w:right w:val="single" w:sz="4" w:space="0" w:color="BFBFBF"/>
            </w:tcBorders>
            <w:shd w:val="clear" w:color="auto" w:fill="auto"/>
            <w:vAlign w:val="center"/>
            <w:hideMark/>
          </w:tcPr>
          <w:p w14:paraId="2E2C597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3,4</w:t>
            </w:r>
          </w:p>
        </w:tc>
        <w:tc>
          <w:tcPr>
            <w:tcW w:w="960" w:type="dxa"/>
            <w:tcBorders>
              <w:top w:val="nil"/>
              <w:left w:val="nil"/>
              <w:bottom w:val="single" w:sz="4" w:space="0" w:color="BFBFBF"/>
              <w:right w:val="single" w:sz="4" w:space="0" w:color="BFBFBF"/>
            </w:tcBorders>
            <w:shd w:val="clear" w:color="000000" w:fill="D9E1F2"/>
            <w:vAlign w:val="center"/>
            <w:hideMark/>
          </w:tcPr>
          <w:p w14:paraId="7671D15F"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w:t>
            </w:r>
          </w:p>
        </w:tc>
        <w:tc>
          <w:tcPr>
            <w:tcW w:w="1320" w:type="dxa"/>
            <w:tcBorders>
              <w:top w:val="nil"/>
              <w:left w:val="nil"/>
              <w:bottom w:val="single" w:sz="4" w:space="0" w:color="BFBFBF"/>
              <w:right w:val="single" w:sz="4" w:space="0" w:color="BFBFBF"/>
            </w:tcBorders>
            <w:shd w:val="clear" w:color="auto" w:fill="auto"/>
            <w:vAlign w:val="center"/>
            <w:hideMark/>
          </w:tcPr>
          <w:p w14:paraId="077A15D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5</w:t>
            </w:r>
          </w:p>
        </w:tc>
        <w:tc>
          <w:tcPr>
            <w:tcW w:w="1400" w:type="dxa"/>
            <w:tcBorders>
              <w:top w:val="nil"/>
              <w:left w:val="nil"/>
              <w:bottom w:val="single" w:sz="4" w:space="0" w:color="BFBFBF"/>
              <w:right w:val="nil"/>
            </w:tcBorders>
            <w:shd w:val="clear" w:color="auto" w:fill="auto"/>
            <w:vAlign w:val="center"/>
            <w:hideMark/>
          </w:tcPr>
          <w:p w14:paraId="71A56592"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6</w:t>
            </w:r>
          </w:p>
        </w:tc>
      </w:tr>
      <w:tr w:rsidR="00A47E2B" w:rsidRPr="00A47E2B" w14:paraId="3DC3AC38"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5489D25F"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 xml:space="preserve"> Gerente Executivo</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46586D8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c>
          <w:tcPr>
            <w:tcW w:w="1240" w:type="dxa"/>
            <w:tcBorders>
              <w:top w:val="nil"/>
              <w:left w:val="nil"/>
              <w:bottom w:val="single" w:sz="4" w:space="0" w:color="BFBFBF"/>
              <w:right w:val="single" w:sz="4" w:space="0" w:color="BFBFBF"/>
            </w:tcBorders>
            <w:shd w:val="clear" w:color="000000" w:fill="F2F2F2"/>
            <w:vAlign w:val="center"/>
            <w:hideMark/>
          </w:tcPr>
          <w:p w14:paraId="496F179B"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2,1</w:t>
            </w:r>
          </w:p>
        </w:tc>
        <w:tc>
          <w:tcPr>
            <w:tcW w:w="1300" w:type="dxa"/>
            <w:tcBorders>
              <w:top w:val="nil"/>
              <w:left w:val="nil"/>
              <w:bottom w:val="single" w:sz="4" w:space="0" w:color="BFBFBF"/>
              <w:right w:val="single" w:sz="4" w:space="0" w:color="BFBFBF"/>
            </w:tcBorders>
            <w:shd w:val="clear" w:color="000000" w:fill="F2F2F2"/>
            <w:vAlign w:val="center"/>
            <w:hideMark/>
          </w:tcPr>
          <w:p w14:paraId="45E9724B"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2,55</w:t>
            </w:r>
          </w:p>
        </w:tc>
        <w:tc>
          <w:tcPr>
            <w:tcW w:w="960" w:type="dxa"/>
            <w:tcBorders>
              <w:top w:val="nil"/>
              <w:left w:val="nil"/>
              <w:bottom w:val="single" w:sz="4" w:space="0" w:color="BFBFBF"/>
              <w:right w:val="single" w:sz="4" w:space="0" w:color="BFBFBF"/>
            </w:tcBorders>
            <w:shd w:val="clear" w:color="000000" w:fill="D9E1F2"/>
            <w:vAlign w:val="center"/>
            <w:hideMark/>
          </w:tcPr>
          <w:p w14:paraId="27D2910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c>
          <w:tcPr>
            <w:tcW w:w="1320" w:type="dxa"/>
            <w:tcBorders>
              <w:top w:val="nil"/>
              <w:left w:val="nil"/>
              <w:bottom w:val="single" w:sz="4" w:space="0" w:color="BFBFBF"/>
              <w:right w:val="single" w:sz="4" w:space="0" w:color="BFBFBF"/>
            </w:tcBorders>
            <w:shd w:val="clear" w:color="000000" w:fill="F2F2F2"/>
            <w:vAlign w:val="center"/>
            <w:hideMark/>
          </w:tcPr>
          <w:p w14:paraId="54133F1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3,75</w:t>
            </w:r>
          </w:p>
        </w:tc>
        <w:tc>
          <w:tcPr>
            <w:tcW w:w="1400" w:type="dxa"/>
            <w:tcBorders>
              <w:top w:val="nil"/>
              <w:left w:val="nil"/>
              <w:bottom w:val="single" w:sz="4" w:space="0" w:color="BFBFBF"/>
              <w:right w:val="nil"/>
            </w:tcBorders>
            <w:shd w:val="clear" w:color="000000" w:fill="F2F2F2"/>
            <w:vAlign w:val="center"/>
            <w:hideMark/>
          </w:tcPr>
          <w:p w14:paraId="01693FD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4,5</w:t>
            </w:r>
          </w:p>
        </w:tc>
      </w:tr>
      <w:tr w:rsidR="00A47E2B" w:rsidRPr="00A47E2B" w14:paraId="132F49F5" w14:textId="77777777" w:rsidTr="00A47E2B">
        <w:trPr>
          <w:trHeight w:val="528"/>
        </w:trPr>
        <w:tc>
          <w:tcPr>
            <w:tcW w:w="3060" w:type="dxa"/>
            <w:tcBorders>
              <w:top w:val="nil"/>
              <w:left w:val="nil"/>
              <w:bottom w:val="single" w:sz="4" w:space="0" w:color="BFBFBF"/>
              <w:right w:val="nil"/>
            </w:tcBorders>
            <w:shd w:val="clear" w:color="000000" w:fill="FFFFFF"/>
            <w:noWrap/>
            <w:vAlign w:val="center"/>
            <w:hideMark/>
          </w:tcPr>
          <w:p w14:paraId="16B2BD42"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Gerente Comercial</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621354E8"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c>
          <w:tcPr>
            <w:tcW w:w="1240" w:type="dxa"/>
            <w:tcBorders>
              <w:top w:val="nil"/>
              <w:left w:val="nil"/>
              <w:bottom w:val="single" w:sz="4" w:space="0" w:color="BFBFBF"/>
              <w:right w:val="single" w:sz="4" w:space="0" w:color="BFBFBF"/>
            </w:tcBorders>
            <w:shd w:val="clear" w:color="auto" w:fill="auto"/>
            <w:vAlign w:val="center"/>
            <w:hideMark/>
          </w:tcPr>
          <w:p w14:paraId="1AAD3082"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2,1</w:t>
            </w:r>
          </w:p>
        </w:tc>
        <w:tc>
          <w:tcPr>
            <w:tcW w:w="1300" w:type="dxa"/>
            <w:tcBorders>
              <w:top w:val="nil"/>
              <w:left w:val="nil"/>
              <w:bottom w:val="single" w:sz="4" w:space="0" w:color="BFBFBF"/>
              <w:right w:val="single" w:sz="4" w:space="0" w:color="BFBFBF"/>
            </w:tcBorders>
            <w:shd w:val="clear" w:color="auto" w:fill="auto"/>
            <w:vAlign w:val="center"/>
            <w:hideMark/>
          </w:tcPr>
          <w:p w14:paraId="012AB81B"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2,55</w:t>
            </w:r>
          </w:p>
        </w:tc>
        <w:tc>
          <w:tcPr>
            <w:tcW w:w="960" w:type="dxa"/>
            <w:tcBorders>
              <w:top w:val="nil"/>
              <w:left w:val="nil"/>
              <w:bottom w:val="single" w:sz="4" w:space="0" w:color="BFBFBF"/>
              <w:right w:val="single" w:sz="4" w:space="0" w:color="BFBFBF"/>
            </w:tcBorders>
            <w:shd w:val="clear" w:color="000000" w:fill="D9E1F2"/>
            <w:vAlign w:val="center"/>
            <w:hideMark/>
          </w:tcPr>
          <w:p w14:paraId="5EE5A538"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c>
          <w:tcPr>
            <w:tcW w:w="1320" w:type="dxa"/>
            <w:tcBorders>
              <w:top w:val="nil"/>
              <w:left w:val="nil"/>
              <w:bottom w:val="single" w:sz="4" w:space="0" w:color="BFBFBF"/>
              <w:right w:val="single" w:sz="4" w:space="0" w:color="BFBFBF"/>
            </w:tcBorders>
            <w:shd w:val="clear" w:color="auto" w:fill="auto"/>
            <w:vAlign w:val="center"/>
            <w:hideMark/>
          </w:tcPr>
          <w:p w14:paraId="2B00452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3,75</w:t>
            </w:r>
          </w:p>
        </w:tc>
        <w:tc>
          <w:tcPr>
            <w:tcW w:w="1400" w:type="dxa"/>
            <w:tcBorders>
              <w:top w:val="nil"/>
              <w:left w:val="nil"/>
              <w:bottom w:val="single" w:sz="4" w:space="0" w:color="BFBFBF"/>
              <w:right w:val="nil"/>
            </w:tcBorders>
            <w:shd w:val="clear" w:color="auto" w:fill="auto"/>
            <w:vAlign w:val="center"/>
            <w:hideMark/>
          </w:tcPr>
          <w:p w14:paraId="44693551"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4,5</w:t>
            </w:r>
          </w:p>
        </w:tc>
      </w:tr>
      <w:tr w:rsidR="00A47E2B" w:rsidRPr="00A47E2B" w14:paraId="158A55A7"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1834F434"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 xml:space="preserve">Gerente Área Comercial </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C</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42892B35"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c>
          <w:tcPr>
            <w:tcW w:w="1240" w:type="dxa"/>
            <w:tcBorders>
              <w:top w:val="nil"/>
              <w:left w:val="nil"/>
              <w:bottom w:val="single" w:sz="4" w:space="0" w:color="BFBFBF"/>
              <w:right w:val="single" w:sz="4" w:space="0" w:color="BFBFBF"/>
            </w:tcBorders>
            <w:shd w:val="clear" w:color="000000" w:fill="F2F2F2"/>
            <w:vAlign w:val="center"/>
            <w:hideMark/>
          </w:tcPr>
          <w:p w14:paraId="234B729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2,1</w:t>
            </w:r>
          </w:p>
        </w:tc>
        <w:tc>
          <w:tcPr>
            <w:tcW w:w="1300" w:type="dxa"/>
            <w:tcBorders>
              <w:top w:val="nil"/>
              <w:left w:val="nil"/>
              <w:bottom w:val="single" w:sz="4" w:space="0" w:color="BFBFBF"/>
              <w:right w:val="single" w:sz="4" w:space="0" w:color="BFBFBF"/>
            </w:tcBorders>
            <w:shd w:val="clear" w:color="000000" w:fill="F2F2F2"/>
            <w:vAlign w:val="center"/>
            <w:hideMark/>
          </w:tcPr>
          <w:p w14:paraId="2076BDC7"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2,55</w:t>
            </w:r>
          </w:p>
        </w:tc>
        <w:tc>
          <w:tcPr>
            <w:tcW w:w="960" w:type="dxa"/>
            <w:tcBorders>
              <w:top w:val="nil"/>
              <w:left w:val="nil"/>
              <w:bottom w:val="single" w:sz="4" w:space="0" w:color="BFBFBF"/>
              <w:right w:val="single" w:sz="4" w:space="0" w:color="BFBFBF"/>
            </w:tcBorders>
            <w:shd w:val="clear" w:color="000000" w:fill="D9E1F2"/>
            <w:vAlign w:val="center"/>
            <w:hideMark/>
          </w:tcPr>
          <w:p w14:paraId="065B4F5E" w14:textId="77777777" w:rsidR="00A47E2B" w:rsidRPr="00A47E2B" w:rsidRDefault="00A47E2B" w:rsidP="00A47E2B">
            <w:pPr>
              <w:spacing w:after="0" w:line="240" w:lineRule="auto"/>
              <w:jc w:val="center"/>
              <w:rPr>
                <w:rFonts w:ascii="Calibri" w:eastAsia="Times New Roman" w:hAnsi="Calibri" w:cs="Calibri"/>
                <w:color w:val="7030A0"/>
                <w:sz w:val="16"/>
                <w:szCs w:val="16"/>
                <w:lang w:eastAsia="pt-BR"/>
              </w:rPr>
            </w:pPr>
            <w:r w:rsidRPr="00A47E2B">
              <w:rPr>
                <w:rFonts w:ascii="Calibri" w:eastAsia="Times New Roman" w:hAnsi="Calibri" w:cs="Calibri"/>
                <w:color w:val="7030A0"/>
                <w:sz w:val="16"/>
                <w:szCs w:val="16"/>
                <w:lang w:eastAsia="pt-BR"/>
              </w:rPr>
              <w:t>3</w:t>
            </w:r>
          </w:p>
        </w:tc>
        <w:tc>
          <w:tcPr>
            <w:tcW w:w="1320" w:type="dxa"/>
            <w:tcBorders>
              <w:top w:val="nil"/>
              <w:left w:val="nil"/>
              <w:bottom w:val="single" w:sz="4" w:space="0" w:color="BFBFBF"/>
              <w:right w:val="single" w:sz="4" w:space="0" w:color="BFBFBF"/>
            </w:tcBorders>
            <w:shd w:val="clear" w:color="000000" w:fill="F2F2F2"/>
            <w:vAlign w:val="center"/>
            <w:hideMark/>
          </w:tcPr>
          <w:p w14:paraId="780074F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3,75</w:t>
            </w:r>
          </w:p>
        </w:tc>
        <w:tc>
          <w:tcPr>
            <w:tcW w:w="1400" w:type="dxa"/>
            <w:tcBorders>
              <w:top w:val="nil"/>
              <w:left w:val="nil"/>
              <w:bottom w:val="single" w:sz="4" w:space="0" w:color="BFBFBF"/>
              <w:right w:val="nil"/>
            </w:tcBorders>
            <w:shd w:val="clear" w:color="000000" w:fill="F2F2F2"/>
            <w:vAlign w:val="center"/>
            <w:hideMark/>
          </w:tcPr>
          <w:p w14:paraId="4494A4F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4,5</w:t>
            </w:r>
          </w:p>
        </w:tc>
      </w:tr>
      <w:tr w:rsidR="00A47E2B" w:rsidRPr="00A47E2B" w14:paraId="02597EA3"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7704B60A"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 xml:space="preserve">Gerente Área Comercial </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C</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0AC89DB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c>
          <w:tcPr>
            <w:tcW w:w="1240" w:type="dxa"/>
            <w:tcBorders>
              <w:top w:val="nil"/>
              <w:left w:val="nil"/>
              <w:bottom w:val="single" w:sz="4" w:space="0" w:color="BFBFBF"/>
              <w:right w:val="single" w:sz="4" w:space="0" w:color="BFBFBF"/>
            </w:tcBorders>
            <w:shd w:val="clear" w:color="auto" w:fill="auto"/>
            <w:vAlign w:val="center"/>
            <w:hideMark/>
          </w:tcPr>
          <w:p w14:paraId="4D562CBF"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2,1</w:t>
            </w:r>
          </w:p>
        </w:tc>
        <w:tc>
          <w:tcPr>
            <w:tcW w:w="1300" w:type="dxa"/>
            <w:tcBorders>
              <w:top w:val="nil"/>
              <w:left w:val="nil"/>
              <w:bottom w:val="single" w:sz="4" w:space="0" w:color="BFBFBF"/>
              <w:right w:val="single" w:sz="4" w:space="0" w:color="BFBFBF"/>
            </w:tcBorders>
            <w:shd w:val="clear" w:color="auto" w:fill="auto"/>
            <w:vAlign w:val="center"/>
            <w:hideMark/>
          </w:tcPr>
          <w:p w14:paraId="7DFF83F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2,55</w:t>
            </w:r>
          </w:p>
        </w:tc>
        <w:tc>
          <w:tcPr>
            <w:tcW w:w="960" w:type="dxa"/>
            <w:tcBorders>
              <w:top w:val="nil"/>
              <w:left w:val="nil"/>
              <w:bottom w:val="single" w:sz="4" w:space="0" w:color="BFBFBF"/>
              <w:right w:val="single" w:sz="4" w:space="0" w:color="BFBFBF"/>
            </w:tcBorders>
            <w:shd w:val="clear" w:color="000000" w:fill="D9E1F2"/>
            <w:vAlign w:val="center"/>
            <w:hideMark/>
          </w:tcPr>
          <w:p w14:paraId="4E774A4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c>
          <w:tcPr>
            <w:tcW w:w="1320" w:type="dxa"/>
            <w:tcBorders>
              <w:top w:val="nil"/>
              <w:left w:val="nil"/>
              <w:bottom w:val="single" w:sz="4" w:space="0" w:color="BFBFBF"/>
              <w:right w:val="single" w:sz="4" w:space="0" w:color="BFBFBF"/>
            </w:tcBorders>
            <w:shd w:val="clear" w:color="auto" w:fill="auto"/>
            <w:vAlign w:val="center"/>
            <w:hideMark/>
          </w:tcPr>
          <w:p w14:paraId="5168E5F3"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3,75</w:t>
            </w:r>
          </w:p>
        </w:tc>
        <w:tc>
          <w:tcPr>
            <w:tcW w:w="1400" w:type="dxa"/>
            <w:tcBorders>
              <w:top w:val="nil"/>
              <w:left w:val="nil"/>
              <w:bottom w:val="single" w:sz="4" w:space="0" w:color="BFBFBF"/>
              <w:right w:val="nil"/>
            </w:tcBorders>
            <w:shd w:val="clear" w:color="auto" w:fill="auto"/>
            <w:vAlign w:val="center"/>
            <w:hideMark/>
          </w:tcPr>
          <w:p w14:paraId="404A6D8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4,5</w:t>
            </w:r>
          </w:p>
        </w:tc>
      </w:tr>
      <w:tr w:rsidR="00A47E2B" w:rsidRPr="00A47E2B" w14:paraId="01B7E497"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3E5BE079"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Gerente Área Comercial</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D</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65BF50B5"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c>
          <w:tcPr>
            <w:tcW w:w="1240" w:type="dxa"/>
            <w:tcBorders>
              <w:top w:val="nil"/>
              <w:left w:val="nil"/>
              <w:bottom w:val="single" w:sz="4" w:space="0" w:color="BFBFBF"/>
              <w:right w:val="single" w:sz="4" w:space="0" w:color="BFBFBF"/>
            </w:tcBorders>
            <w:shd w:val="clear" w:color="000000" w:fill="F2F2F2"/>
            <w:vAlign w:val="center"/>
            <w:hideMark/>
          </w:tcPr>
          <w:p w14:paraId="77881CE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2,1</w:t>
            </w:r>
          </w:p>
        </w:tc>
        <w:tc>
          <w:tcPr>
            <w:tcW w:w="1300" w:type="dxa"/>
            <w:tcBorders>
              <w:top w:val="nil"/>
              <w:left w:val="nil"/>
              <w:bottom w:val="single" w:sz="4" w:space="0" w:color="BFBFBF"/>
              <w:right w:val="single" w:sz="4" w:space="0" w:color="BFBFBF"/>
            </w:tcBorders>
            <w:shd w:val="clear" w:color="000000" w:fill="F2F2F2"/>
            <w:vAlign w:val="center"/>
            <w:hideMark/>
          </w:tcPr>
          <w:p w14:paraId="3BCA7C8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2,55</w:t>
            </w:r>
          </w:p>
        </w:tc>
        <w:tc>
          <w:tcPr>
            <w:tcW w:w="960" w:type="dxa"/>
            <w:tcBorders>
              <w:top w:val="nil"/>
              <w:left w:val="nil"/>
              <w:bottom w:val="single" w:sz="4" w:space="0" w:color="BFBFBF"/>
              <w:right w:val="single" w:sz="4" w:space="0" w:color="BFBFBF"/>
            </w:tcBorders>
            <w:shd w:val="clear" w:color="000000" w:fill="D9E1F2"/>
            <w:vAlign w:val="center"/>
            <w:hideMark/>
          </w:tcPr>
          <w:p w14:paraId="62180502"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c>
          <w:tcPr>
            <w:tcW w:w="1320" w:type="dxa"/>
            <w:tcBorders>
              <w:top w:val="nil"/>
              <w:left w:val="nil"/>
              <w:bottom w:val="single" w:sz="4" w:space="0" w:color="BFBFBF"/>
              <w:right w:val="single" w:sz="4" w:space="0" w:color="BFBFBF"/>
            </w:tcBorders>
            <w:shd w:val="clear" w:color="000000" w:fill="F2F2F2"/>
            <w:vAlign w:val="center"/>
            <w:hideMark/>
          </w:tcPr>
          <w:p w14:paraId="4E84FFE2"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3,75</w:t>
            </w:r>
          </w:p>
        </w:tc>
        <w:tc>
          <w:tcPr>
            <w:tcW w:w="1400" w:type="dxa"/>
            <w:tcBorders>
              <w:top w:val="nil"/>
              <w:left w:val="nil"/>
              <w:bottom w:val="single" w:sz="4" w:space="0" w:color="BFBFBF"/>
              <w:right w:val="nil"/>
            </w:tcBorders>
            <w:shd w:val="clear" w:color="000000" w:fill="F2F2F2"/>
            <w:vAlign w:val="center"/>
            <w:hideMark/>
          </w:tcPr>
          <w:p w14:paraId="5F5958F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4,5</w:t>
            </w:r>
          </w:p>
        </w:tc>
      </w:tr>
      <w:tr w:rsidR="00A47E2B" w:rsidRPr="00A47E2B" w14:paraId="00E1E1E2"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06C91FF1"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Gerente Área Comercial</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E</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6CDB2509"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c>
          <w:tcPr>
            <w:tcW w:w="1240" w:type="dxa"/>
            <w:tcBorders>
              <w:top w:val="nil"/>
              <w:left w:val="nil"/>
              <w:bottom w:val="single" w:sz="4" w:space="0" w:color="BFBFBF"/>
              <w:right w:val="single" w:sz="4" w:space="0" w:color="BFBFBF"/>
            </w:tcBorders>
            <w:shd w:val="clear" w:color="auto" w:fill="auto"/>
            <w:vAlign w:val="center"/>
            <w:hideMark/>
          </w:tcPr>
          <w:p w14:paraId="2E28BBD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2,1</w:t>
            </w:r>
          </w:p>
        </w:tc>
        <w:tc>
          <w:tcPr>
            <w:tcW w:w="1300" w:type="dxa"/>
            <w:tcBorders>
              <w:top w:val="nil"/>
              <w:left w:val="nil"/>
              <w:bottom w:val="single" w:sz="4" w:space="0" w:color="BFBFBF"/>
              <w:right w:val="single" w:sz="4" w:space="0" w:color="BFBFBF"/>
            </w:tcBorders>
            <w:shd w:val="clear" w:color="auto" w:fill="auto"/>
            <w:vAlign w:val="center"/>
            <w:hideMark/>
          </w:tcPr>
          <w:p w14:paraId="6BBB72F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2,55</w:t>
            </w:r>
          </w:p>
        </w:tc>
        <w:tc>
          <w:tcPr>
            <w:tcW w:w="960" w:type="dxa"/>
            <w:tcBorders>
              <w:top w:val="nil"/>
              <w:left w:val="nil"/>
              <w:bottom w:val="single" w:sz="4" w:space="0" w:color="BFBFBF"/>
              <w:right w:val="single" w:sz="4" w:space="0" w:color="BFBFBF"/>
            </w:tcBorders>
            <w:shd w:val="clear" w:color="000000" w:fill="D9E1F2"/>
            <w:vAlign w:val="center"/>
            <w:hideMark/>
          </w:tcPr>
          <w:p w14:paraId="113710C1"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c>
          <w:tcPr>
            <w:tcW w:w="1320" w:type="dxa"/>
            <w:tcBorders>
              <w:top w:val="nil"/>
              <w:left w:val="nil"/>
              <w:bottom w:val="single" w:sz="4" w:space="0" w:color="BFBFBF"/>
              <w:right w:val="single" w:sz="4" w:space="0" w:color="BFBFBF"/>
            </w:tcBorders>
            <w:shd w:val="clear" w:color="auto" w:fill="auto"/>
            <w:vAlign w:val="center"/>
            <w:hideMark/>
          </w:tcPr>
          <w:p w14:paraId="088A827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3,75</w:t>
            </w:r>
          </w:p>
        </w:tc>
        <w:tc>
          <w:tcPr>
            <w:tcW w:w="1400" w:type="dxa"/>
            <w:tcBorders>
              <w:top w:val="nil"/>
              <w:left w:val="nil"/>
              <w:bottom w:val="single" w:sz="4" w:space="0" w:color="BFBFBF"/>
              <w:right w:val="nil"/>
            </w:tcBorders>
            <w:shd w:val="clear" w:color="auto" w:fill="auto"/>
            <w:vAlign w:val="center"/>
            <w:hideMark/>
          </w:tcPr>
          <w:p w14:paraId="44BC24F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4,5</w:t>
            </w:r>
          </w:p>
        </w:tc>
      </w:tr>
      <w:tr w:rsidR="00A47E2B" w:rsidRPr="00A47E2B" w14:paraId="52BBEEB5"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74A354A5"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Gerente Área Comercial</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F</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38F32AF7"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c>
          <w:tcPr>
            <w:tcW w:w="1240" w:type="dxa"/>
            <w:tcBorders>
              <w:top w:val="nil"/>
              <w:left w:val="nil"/>
              <w:bottom w:val="single" w:sz="4" w:space="0" w:color="BFBFBF"/>
              <w:right w:val="single" w:sz="4" w:space="0" w:color="BFBFBF"/>
            </w:tcBorders>
            <w:shd w:val="clear" w:color="000000" w:fill="F2F2F2"/>
            <w:vAlign w:val="center"/>
            <w:hideMark/>
          </w:tcPr>
          <w:p w14:paraId="63C40FD5"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2,1</w:t>
            </w:r>
          </w:p>
        </w:tc>
        <w:tc>
          <w:tcPr>
            <w:tcW w:w="1300" w:type="dxa"/>
            <w:tcBorders>
              <w:top w:val="nil"/>
              <w:left w:val="nil"/>
              <w:bottom w:val="single" w:sz="4" w:space="0" w:color="BFBFBF"/>
              <w:right w:val="single" w:sz="4" w:space="0" w:color="BFBFBF"/>
            </w:tcBorders>
            <w:shd w:val="clear" w:color="000000" w:fill="F2F2F2"/>
            <w:vAlign w:val="center"/>
            <w:hideMark/>
          </w:tcPr>
          <w:p w14:paraId="73A050D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2,55</w:t>
            </w:r>
          </w:p>
        </w:tc>
        <w:tc>
          <w:tcPr>
            <w:tcW w:w="960" w:type="dxa"/>
            <w:tcBorders>
              <w:top w:val="nil"/>
              <w:left w:val="nil"/>
              <w:bottom w:val="single" w:sz="4" w:space="0" w:color="BFBFBF"/>
              <w:right w:val="single" w:sz="4" w:space="0" w:color="BFBFBF"/>
            </w:tcBorders>
            <w:shd w:val="clear" w:color="000000" w:fill="D9E1F2"/>
            <w:vAlign w:val="center"/>
            <w:hideMark/>
          </w:tcPr>
          <w:p w14:paraId="684B4377"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c>
          <w:tcPr>
            <w:tcW w:w="1320" w:type="dxa"/>
            <w:tcBorders>
              <w:top w:val="nil"/>
              <w:left w:val="nil"/>
              <w:bottom w:val="single" w:sz="4" w:space="0" w:color="BFBFBF"/>
              <w:right w:val="single" w:sz="4" w:space="0" w:color="BFBFBF"/>
            </w:tcBorders>
            <w:shd w:val="clear" w:color="000000" w:fill="F2F2F2"/>
            <w:vAlign w:val="center"/>
            <w:hideMark/>
          </w:tcPr>
          <w:p w14:paraId="2A681EF3"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3,75</w:t>
            </w:r>
          </w:p>
        </w:tc>
        <w:tc>
          <w:tcPr>
            <w:tcW w:w="1400" w:type="dxa"/>
            <w:tcBorders>
              <w:top w:val="nil"/>
              <w:left w:val="nil"/>
              <w:bottom w:val="single" w:sz="4" w:space="0" w:color="BFBFBF"/>
              <w:right w:val="nil"/>
            </w:tcBorders>
            <w:shd w:val="clear" w:color="000000" w:fill="F2F2F2"/>
            <w:vAlign w:val="center"/>
            <w:hideMark/>
          </w:tcPr>
          <w:p w14:paraId="7778074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4,5</w:t>
            </w:r>
          </w:p>
        </w:tc>
      </w:tr>
      <w:tr w:rsidR="00A47E2B" w:rsidRPr="00A47E2B" w14:paraId="07AE6313"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0EC16D59"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Gerente Área Comercial</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G</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2D8CAFC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c>
          <w:tcPr>
            <w:tcW w:w="1240" w:type="dxa"/>
            <w:tcBorders>
              <w:top w:val="nil"/>
              <w:left w:val="nil"/>
              <w:bottom w:val="single" w:sz="4" w:space="0" w:color="BFBFBF"/>
              <w:right w:val="single" w:sz="4" w:space="0" w:color="BFBFBF"/>
            </w:tcBorders>
            <w:shd w:val="clear" w:color="auto" w:fill="auto"/>
            <w:vAlign w:val="center"/>
            <w:hideMark/>
          </w:tcPr>
          <w:p w14:paraId="093FFA8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2,1</w:t>
            </w:r>
          </w:p>
        </w:tc>
        <w:tc>
          <w:tcPr>
            <w:tcW w:w="1300" w:type="dxa"/>
            <w:tcBorders>
              <w:top w:val="nil"/>
              <w:left w:val="nil"/>
              <w:bottom w:val="single" w:sz="4" w:space="0" w:color="BFBFBF"/>
              <w:right w:val="single" w:sz="4" w:space="0" w:color="BFBFBF"/>
            </w:tcBorders>
            <w:shd w:val="clear" w:color="auto" w:fill="auto"/>
            <w:vAlign w:val="center"/>
            <w:hideMark/>
          </w:tcPr>
          <w:p w14:paraId="7679C37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2,55</w:t>
            </w:r>
          </w:p>
        </w:tc>
        <w:tc>
          <w:tcPr>
            <w:tcW w:w="960" w:type="dxa"/>
            <w:tcBorders>
              <w:top w:val="nil"/>
              <w:left w:val="nil"/>
              <w:bottom w:val="single" w:sz="4" w:space="0" w:color="BFBFBF"/>
              <w:right w:val="single" w:sz="4" w:space="0" w:color="BFBFBF"/>
            </w:tcBorders>
            <w:shd w:val="clear" w:color="000000" w:fill="D9E1F2"/>
            <w:vAlign w:val="center"/>
            <w:hideMark/>
          </w:tcPr>
          <w:p w14:paraId="384D54B9"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c>
          <w:tcPr>
            <w:tcW w:w="1320" w:type="dxa"/>
            <w:tcBorders>
              <w:top w:val="nil"/>
              <w:left w:val="nil"/>
              <w:bottom w:val="single" w:sz="4" w:space="0" w:color="BFBFBF"/>
              <w:right w:val="single" w:sz="4" w:space="0" w:color="BFBFBF"/>
            </w:tcBorders>
            <w:shd w:val="clear" w:color="auto" w:fill="auto"/>
            <w:vAlign w:val="center"/>
            <w:hideMark/>
          </w:tcPr>
          <w:p w14:paraId="09B80D9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3,75</w:t>
            </w:r>
          </w:p>
        </w:tc>
        <w:tc>
          <w:tcPr>
            <w:tcW w:w="1400" w:type="dxa"/>
            <w:tcBorders>
              <w:top w:val="nil"/>
              <w:left w:val="nil"/>
              <w:bottom w:val="single" w:sz="4" w:space="0" w:color="BFBFBF"/>
              <w:right w:val="nil"/>
            </w:tcBorders>
            <w:shd w:val="clear" w:color="auto" w:fill="auto"/>
            <w:vAlign w:val="center"/>
            <w:hideMark/>
          </w:tcPr>
          <w:p w14:paraId="74EEC953"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4,5</w:t>
            </w:r>
          </w:p>
        </w:tc>
      </w:tr>
      <w:tr w:rsidR="00A47E2B" w:rsidRPr="00A47E2B" w14:paraId="59F4C0A6"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481B955C"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Gerente Área Comercial</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H</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653DD2DF"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c>
          <w:tcPr>
            <w:tcW w:w="1240" w:type="dxa"/>
            <w:tcBorders>
              <w:top w:val="nil"/>
              <w:left w:val="nil"/>
              <w:bottom w:val="single" w:sz="4" w:space="0" w:color="BFBFBF"/>
              <w:right w:val="single" w:sz="4" w:space="0" w:color="BFBFBF"/>
            </w:tcBorders>
            <w:shd w:val="clear" w:color="000000" w:fill="F2F2F2"/>
            <w:vAlign w:val="center"/>
            <w:hideMark/>
          </w:tcPr>
          <w:p w14:paraId="0FCF96C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2,1</w:t>
            </w:r>
          </w:p>
        </w:tc>
        <w:tc>
          <w:tcPr>
            <w:tcW w:w="1300" w:type="dxa"/>
            <w:tcBorders>
              <w:top w:val="nil"/>
              <w:left w:val="nil"/>
              <w:bottom w:val="single" w:sz="4" w:space="0" w:color="BFBFBF"/>
              <w:right w:val="single" w:sz="4" w:space="0" w:color="BFBFBF"/>
            </w:tcBorders>
            <w:shd w:val="clear" w:color="000000" w:fill="F2F2F2"/>
            <w:vAlign w:val="center"/>
            <w:hideMark/>
          </w:tcPr>
          <w:p w14:paraId="29D8C529"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2,55</w:t>
            </w:r>
          </w:p>
        </w:tc>
        <w:tc>
          <w:tcPr>
            <w:tcW w:w="960" w:type="dxa"/>
            <w:tcBorders>
              <w:top w:val="nil"/>
              <w:left w:val="nil"/>
              <w:bottom w:val="single" w:sz="4" w:space="0" w:color="BFBFBF"/>
              <w:right w:val="single" w:sz="4" w:space="0" w:color="BFBFBF"/>
            </w:tcBorders>
            <w:shd w:val="clear" w:color="000000" w:fill="D9E1F2"/>
            <w:vAlign w:val="center"/>
            <w:hideMark/>
          </w:tcPr>
          <w:p w14:paraId="7C108072"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c>
          <w:tcPr>
            <w:tcW w:w="1320" w:type="dxa"/>
            <w:tcBorders>
              <w:top w:val="nil"/>
              <w:left w:val="nil"/>
              <w:bottom w:val="single" w:sz="4" w:space="0" w:color="BFBFBF"/>
              <w:right w:val="single" w:sz="4" w:space="0" w:color="BFBFBF"/>
            </w:tcBorders>
            <w:shd w:val="clear" w:color="000000" w:fill="F2F2F2"/>
            <w:vAlign w:val="center"/>
            <w:hideMark/>
          </w:tcPr>
          <w:p w14:paraId="201C8B5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3,75</w:t>
            </w:r>
          </w:p>
        </w:tc>
        <w:tc>
          <w:tcPr>
            <w:tcW w:w="1400" w:type="dxa"/>
            <w:tcBorders>
              <w:top w:val="nil"/>
              <w:left w:val="nil"/>
              <w:bottom w:val="single" w:sz="4" w:space="0" w:color="BFBFBF"/>
              <w:right w:val="nil"/>
            </w:tcBorders>
            <w:shd w:val="clear" w:color="000000" w:fill="F2F2F2"/>
            <w:vAlign w:val="center"/>
            <w:hideMark/>
          </w:tcPr>
          <w:p w14:paraId="021AD1F1"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4,5</w:t>
            </w:r>
          </w:p>
        </w:tc>
      </w:tr>
      <w:tr w:rsidR="00A47E2B" w:rsidRPr="00A47E2B" w14:paraId="5951092B"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1D8F7FB1"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 xml:space="preserve">Supervisor </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F</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25227C8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240" w:type="dxa"/>
            <w:tcBorders>
              <w:top w:val="nil"/>
              <w:left w:val="nil"/>
              <w:bottom w:val="single" w:sz="4" w:space="0" w:color="BFBFBF"/>
              <w:right w:val="single" w:sz="4" w:space="0" w:color="BFBFBF"/>
            </w:tcBorders>
            <w:shd w:val="clear" w:color="auto" w:fill="auto"/>
            <w:vAlign w:val="center"/>
            <w:hideMark/>
          </w:tcPr>
          <w:p w14:paraId="3710D922"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1,4</w:t>
            </w:r>
          </w:p>
        </w:tc>
        <w:tc>
          <w:tcPr>
            <w:tcW w:w="1300" w:type="dxa"/>
            <w:tcBorders>
              <w:top w:val="nil"/>
              <w:left w:val="nil"/>
              <w:bottom w:val="single" w:sz="4" w:space="0" w:color="BFBFBF"/>
              <w:right w:val="single" w:sz="4" w:space="0" w:color="BFBFBF"/>
            </w:tcBorders>
            <w:shd w:val="clear" w:color="auto" w:fill="auto"/>
            <w:vAlign w:val="center"/>
            <w:hideMark/>
          </w:tcPr>
          <w:p w14:paraId="1C66B1C3"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1,7</w:t>
            </w:r>
          </w:p>
        </w:tc>
        <w:tc>
          <w:tcPr>
            <w:tcW w:w="960" w:type="dxa"/>
            <w:tcBorders>
              <w:top w:val="nil"/>
              <w:left w:val="nil"/>
              <w:bottom w:val="single" w:sz="4" w:space="0" w:color="BFBFBF"/>
              <w:right w:val="single" w:sz="4" w:space="0" w:color="BFBFBF"/>
            </w:tcBorders>
            <w:shd w:val="clear" w:color="000000" w:fill="D9E1F2"/>
            <w:vAlign w:val="center"/>
            <w:hideMark/>
          </w:tcPr>
          <w:p w14:paraId="2ABE597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w:t>
            </w:r>
          </w:p>
        </w:tc>
        <w:tc>
          <w:tcPr>
            <w:tcW w:w="1320" w:type="dxa"/>
            <w:tcBorders>
              <w:top w:val="nil"/>
              <w:left w:val="nil"/>
              <w:bottom w:val="single" w:sz="4" w:space="0" w:color="BFBFBF"/>
              <w:right w:val="single" w:sz="4" w:space="0" w:color="BFBFBF"/>
            </w:tcBorders>
            <w:shd w:val="clear" w:color="auto" w:fill="auto"/>
            <w:vAlign w:val="center"/>
            <w:hideMark/>
          </w:tcPr>
          <w:p w14:paraId="637AD29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w:t>
            </w:r>
          </w:p>
        </w:tc>
        <w:tc>
          <w:tcPr>
            <w:tcW w:w="1400" w:type="dxa"/>
            <w:tcBorders>
              <w:top w:val="nil"/>
              <w:left w:val="nil"/>
              <w:bottom w:val="single" w:sz="4" w:space="0" w:color="BFBFBF"/>
              <w:right w:val="nil"/>
            </w:tcBorders>
            <w:shd w:val="clear" w:color="auto" w:fill="auto"/>
            <w:vAlign w:val="center"/>
            <w:hideMark/>
          </w:tcPr>
          <w:p w14:paraId="79EECD9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r>
      <w:tr w:rsidR="00A47E2B" w:rsidRPr="00A47E2B" w14:paraId="5580EC3D"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14D99A34"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Supervisor</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G</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7AFD7FB9"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240" w:type="dxa"/>
            <w:tcBorders>
              <w:top w:val="nil"/>
              <w:left w:val="nil"/>
              <w:bottom w:val="single" w:sz="4" w:space="0" w:color="BFBFBF"/>
              <w:right w:val="single" w:sz="4" w:space="0" w:color="BFBFBF"/>
            </w:tcBorders>
            <w:shd w:val="clear" w:color="000000" w:fill="F2F2F2"/>
            <w:vAlign w:val="center"/>
            <w:hideMark/>
          </w:tcPr>
          <w:p w14:paraId="6A19DD4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1,4</w:t>
            </w:r>
          </w:p>
        </w:tc>
        <w:tc>
          <w:tcPr>
            <w:tcW w:w="1300" w:type="dxa"/>
            <w:tcBorders>
              <w:top w:val="nil"/>
              <w:left w:val="nil"/>
              <w:bottom w:val="single" w:sz="4" w:space="0" w:color="BFBFBF"/>
              <w:right w:val="single" w:sz="4" w:space="0" w:color="BFBFBF"/>
            </w:tcBorders>
            <w:shd w:val="clear" w:color="000000" w:fill="F2F2F2"/>
            <w:vAlign w:val="center"/>
            <w:hideMark/>
          </w:tcPr>
          <w:p w14:paraId="7D4BF85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1,7</w:t>
            </w:r>
          </w:p>
        </w:tc>
        <w:tc>
          <w:tcPr>
            <w:tcW w:w="960" w:type="dxa"/>
            <w:tcBorders>
              <w:top w:val="nil"/>
              <w:left w:val="nil"/>
              <w:bottom w:val="single" w:sz="4" w:space="0" w:color="BFBFBF"/>
              <w:right w:val="single" w:sz="4" w:space="0" w:color="BFBFBF"/>
            </w:tcBorders>
            <w:shd w:val="clear" w:color="000000" w:fill="D9E1F2"/>
            <w:vAlign w:val="center"/>
            <w:hideMark/>
          </w:tcPr>
          <w:p w14:paraId="6682F6DF"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w:t>
            </w:r>
          </w:p>
        </w:tc>
        <w:tc>
          <w:tcPr>
            <w:tcW w:w="1320" w:type="dxa"/>
            <w:tcBorders>
              <w:top w:val="nil"/>
              <w:left w:val="nil"/>
              <w:bottom w:val="single" w:sz="4" w:space="0" w:color="BFBFBF"/>
              <w:right w:val="single" w:sz="4" w:space="0" w:color="BFBFBF"/>
            </w:tcBorders>
            <w:shd w:val="clear" w:color="000000" w:fill="F2F2F2"/>
            <w:vAlign w:val="center"/>
            <w:hideMark/>
          </w:tcPr>
          <w:p w14:paraId="4945BE2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w:t>
            </w:r>
          </w:p>
        </w:tc>
        <w:tc>
          <w:tcPr>
            <w:tcW w:w="1400" w:type="dxa"/>
            <w:tcBorders>
              <w:top w:val="nil"/>
              <w:left w:val="nil"/>
              <w:bottom w:val="single" w:sz="4" w:space="0" w:color="BFBFBF"/>
              <w:right w:val="nil"/>
            </w:tcBorders>
            <w:shd w:val="clear" w:color="000000" w:fill="F2F2F2"/>
            <w:vAlign w:val="center"/>
            <w:hideMark/>
          </w:tcPr>
          <w:p w14:paraId="139BA7C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r>
      <w:tr w:rsidR="00A47E2B" w:rsidRPr="00A47E2B" w14:paraId="483D726E"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4DF3C3AA"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Supervisor</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H</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1BA632F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240" w:type="dxa"/>
            <w:tcBorders>
              <w:top w:val="nil"/>
              <w:left w:val="nil"/>
              <w:bottom w:val="single" w:sz="4" w:space="0" w:color="BFBFBF"/>
              <w:right w:val="single" w:sz="4" w:space="0" w:color="BFBFBF"/>
            </w:tcBorders>
            <w:shd w:val="clear" w:color="auto" w:fill="auto"/>
            <w:vAlign w:val="center"/>
            <w:hideMark/>
          </w:tcPr>
          <w:p w14:paraId="51FEF2C5"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1,4</w:t>
            </w:r>
          </w:p>
        </w:tc>
        <w:tc>
          <w:tcPr>
            <w:tcW w:w="1300" w:type="dxa"/>
            <w:tcBorders>
              <w:top w:val="nil"/>
              <w:left w:val="nil"/>
              <w:bottom w:val="single" w:sz="4" w:space="0" w:color="BFBFBF"/>
              <w:right w:val="single" w:sz="4" w:space="0" w:color="BFBFBF"/>
            </w:tcBorders>
            <w:shd w:val="clear" w:color="auto" w:fill="auto"/>
            <w:vAlign w:val="center"/>
            <w:hideMark/>
          </w:tcPr>
          <w:p w14:paraId="3CB447C2"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1,7</w:t>
            </w:r>
          </w:p>
        </w:tc>
        <w:tc>
          <w:tcPr>
            <w:tcW w:w="960" w:type="dxa"/>
            <w:tcBorders>
              <w:top w:val="nil"/>
              <w:left w:val="nil"/>
              <w:bottom w:val="single" w:sz="4" w:space="0" w:color="BFBFBF"/>
              <w:right w:val="single" w:sz="4" w:space="0" w:color="BFBFBF"/>
            </w:tcBorders>
            <w:shd w:val="clear" w:color="000000" w:fill="D9E1F2"/>
            <w:vAlign w:val="center"/>
            <w:hideMark/>
          </w:tcPr>
          <w:p w14:paraId="6B31AF4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w:t>
            </w:r>
          </w:p>
        </w:tc>
        <w:tc>
          <w:tcPr>
            <w:tcW w:w="1320" w:type="dxa"/>
            <w:tcBorders>
              <w:top w:val="nil"/>
              <w:left w:val="nil"/>
              <w:bottom w:val="single" w:sz="4" w:space="0" w:color="BFBFBF"/>
              <w:right w:val="single" w:sz="4" w:space="0" w:color="BFBFBF"/>
            </w:tcBorders>
            <w:shd w:val="clear" w:color="auto" w:fill="auto"/>
            <w:vAlign w:val="center"/>
            <w:hideMark/>
          </w:tcPr>
          <w:p w14:paraId="6C1EDDEF"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w:t>
            </w:r>
          </w:p>
        </w:tc>
        <w:tc>
          <w:tcPr>
            <w:tcW w:w="1400" w:type="dxa"/>
            <w:tcBorders>
              <w:top w:val="nil"/>
              <w:left w:val="nil"/>
              <w:bottom w:val="single" w:sz="4" w:space="0" w:color="BFBFBF"/>
              <w:right w:val="nil"/>
            </w:tcBorders>
            <w:shd w:val="clear" w:color="auto" w:fill="auto"/>
            <w:vAlign w:val="center"/>
            <w:hideMark/>
          </w:tcPr>
          <w:p w14:paraId="7735063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r>
      <w:tr w:rsidR="00A47E2B" w:rsidRPr="00A47E2B" w14:paraId="1D3C447E" w14:textId="77777777" w:rsidTr="00A47E2B">
        <w:trPr>
          <w:trHeight w:val="492"/>
        </w:trPr>
        <w:tc>
          <w:tcPr>
            <w:tcW w:w="3060" w:type="dxa"/>
            <w:tcBorders>
              <w:top w:val="nil"/>
              <w:left w:val="nil"/>
              <w:bottom w:val="single" w:sz="4" w:space="0" w:color="BFBFBF"/>
              <w:right w:val="nil"/>
            </w:tcBorders>
            <w:shd w:val="clear" w:color="000000" w:fill="F2F2F2"/>
            <w:vAlign w:val="center"/>
            <w:hideMark/>
          </w:tcPr>
          <w:p w14:paraId="785BD42D"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Operador de Negócios</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75E7C9F7"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c>
          <w:tcPr>
            <w:tcW w:w="1240" w:type="dxa"/>
            <w:tcBorders>
              <w:top w:val="nil"/>
              <w:left w:val="nil"/>
              <w:bottom w:val="single" w:sz="4" w:space="0" w:color="BFBFBF"/>
              <w:right w:val="single" w:sz="4" w:space="0" w:color="BFBFBF"/>
            </w:tcBorders>
            <w:shd w:val="clear" w:color="000000" w:fill="F2F2F2"/>
            <w:vAlign w:val="center"/>
            <w:hideMark/>
          </w:tcPr>
          <w:p w14:paraId="583C003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2,1</w:t>
            </w:r>
          </w:p>
        </w:tc>
        <w:tc>
          <w:tcPr>
            <w:tcW w:w="1300" w:type="dxa"/>
            <w:tcBorders>
              <w:top w:val="nil"/>
              <w:left w:val="nil"/>
              <w:bottom w:val="single" w:sz="4" w:space="0" w:color="BFBFBF"/>
              <w:right w:val="single" w:sz="4" w:space="0" w:color="BFBFBF"/>
            </w:tcBorders>
            <w:shd w:val="clear" w:color="000000" w:fill="F2F2F2"/>
            <w:vAlign w:val="center"/>
            <w:hideMark/>
          </w:tcPr>
          <w:p w14:paraId="10E21993"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2,55</w:t>
            </w:r>
          </w:p>
        </w:tc>
        <w:tc>
          <w:tcPr>
            <w:tcW w:w="960" w:type="dxa"/>
            <w:tcBorders>
              <w:top w:val="nil"/>
              <w:left w:val="nil"/>
              <w:bottom w:val="single" w:sz="4" w:space="0" w:color="BFBFBF"/>
              <w:right w:val="single" w:sz="4" w:space="0" w:color="BFBFBF"/>
            </w:tcBorders>
            <w:shd w:val="clear" w:color="000000" w:fill="D9E1F2"/>
            <w:vAlign w:val="center"/>
            <w:hideMark/>
          </w:tcPr>
          <w:p w14:paraId="4CFBE81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c>
          <w:tcPr>
            <w:tcW w:w="1320" w:type="dxa"/>
            <w:tcBorders>
              <w:top w:val="nil"/>
              <w:left w:val="nil"/>
              <w:bottom w:val="single" w:sz="4" w:space="0" w:color="BFBFBF"/>
              <w:right w:val="single" w:sz="4" w:space="0" w:color="BFBFBF"/>
            </w:tcBorders>
            <w:shd w:val="clear" w:color="000000" w:fill="F2F2F2"/>
            <w:vAlign w:val="center"/>
            <w:hideMark/>
          </w:tcPr>
          <w:p w14:paraId="770332A3"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3,75</w:t>
            </w:r>
          </w:p>
        </w:tc>
        <w:tc>
          <w:tcPr>
            <w:tcW w:w="1400" w:type="dxa"/>
            <w:tcBorders>
              <w:top w:val="nil"/>
              <w:left w:val="nil"/>
              <w:bottom w:val="single" w:sz="4" w:space="0" w:color="BFBFBF"/>
              <w:right w:val="nil"/>
            </w:tcBorders>
            <w:shd w:val="clear" w:color="000000" w:fill="F2F2F2"/>
            <w:vAlign w:val="center"/>
            <w:hideMark/>
          </w:tcPr>
          <w:p w14:paraId="50BA7C38"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4,5</w:t>
            </w:r>
          </w:p>
        </w:tc>
      </w:tr>
      <w:tr w:rsidR="00A47E2B" w:rsidRPr="00A47E2B" w14:paraId="6F4FDB58"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2C1C4894"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Especializadas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C</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54190F1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240" w:type="dxa"/>
            <w:tcBorders>
              <w:top w:val="nil"/>
              <w:left w:val="nil"/>
              <w:bottom w:val="single" w:sz="4" w:space="0" w:color="BFBFBF"/>
              <w:right w:val="single" w:sz="4" w:space="0" w:color="BFBFBF"/>
            </w:tcBorders>
            <w:shd w:val="clear" w:color="auto" w:fill="auto"/>
            <w:vAlign w:val="center"/>
            <w:hideMark/>
          </w:tcPr>
          <w:p w14:paraId="6064971B"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1,4</w:t>
            </w:r>
          </w:p>
        </w:tc>
        <w:tc>
          <w:tcPr>
            <w:tcW w:w="1300" w:type="dxa"/>
            <w:tcBorders>
              <w:top w:val="nil"/>
              <w:left w:val="nil"/>
              <w:bottom w:val="single" w:sz="4" w:space="0" w:color="BFBFBF"/>
              <w:right w:val="single" w:sz="4" w:space="0" w:color="BFBFBF"/>
            </w:tcBorders>
            <w:shd w:val="clear" w:color="auto" w:fill="auto"/>
            <w:vAlign w:val="center"/>
            <w:hideMark/>
          </w:tcPr>
          <w:p w14:paraId="0E05D807"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1,7</w:t>
            </w:r>
          </w:p>
        </w:tc>
        <w:tc>
          <w:tcPr>
            <w:tcW w:w="960" w:type="dxa"/>
            <w:tcBorders>
              <w:top w:val="nil"/>
              <w:left w:val="nil"/>
              <w:bottom w:val="single" w:sz="4" w:space="0" w:color="BFBFBF"/>
              <w:right w:val="single" w:sz="4" w:space="0" w:color="BFBFBF"/>
            </w:tcBorders>
            <w:shd w:val="clear" w:color="000000" w:fill="D9E1F2"/>
            <w:vAlign w:val="center"/>
            <w:hideMark/>
          </w:tcPr>
          <w:p w14:paraId="113D49A1"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w:t>
            </w:r>
          </w:p>
        </w:tc>
        <w:tc>
          <w:tcPr>
            <w:tcW w:w="1320" w:type="dxa"/>
            <w:tcBorders>
              <w:top w:val="nil"/>
              <w:left w:val="nil"/>
              <w:bottom w:val="single" w:sz="4" w:space="0" w:color="BFBFBF"/>
              <w:right w:val="single" w:sz="4" w:space="0" w:color="BFBFBF"/>
            </w:tcBorders>
            <w:shd w:val="clear" w:color="auto" w:fill="auto"/>
            <w:vAlign w:val="center"/>
            <w:hideMark/>
          </w:tcPr>
          <w:p w14:paraId="773E6B18"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w:t>
            </w:r>
          </w:p>
        </w:tc>
        <w:tc>
          <w:tcPr>
            <w:tcW w:w="1400" w:type="dxa"/>
            <w:tcBorders>
              <w:top w:val="nil"/>
              <w:left w:val="nil"/>
              <w:bottom w:val="single" w:sz="4" w:space="0" w:color="BFBFBF"/>
              <w:right w:val="nil"/>
            </w:tcBorders>
            <w:shd w:val="clear" w:color="auto" w:fill="auto"/>
            <w:vAlign w:val="center"/>
            <w:hideMark/>
          </w:tcPr>
          <w:p w14:paraId="309F6E1B"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r>
      <w:tr w:rsidR="00A47E2B" w:rsidRPr="00A47E2B" w14:paraId="5C03E117"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659EC17E"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Especializadas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D</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1671E8C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240" w:type="dxa"/>
            <w:tcBorders>
              <w:top w:val="nil"/>
              <w:left w:val="nil"/>
              <w:bottom w:val="single" w:sz="4" w:space="0" w:color="BFBFBF"/>
              <w:right w:val="single" w:sz="4" w:space="0" w:color="BFBFBF"/>
            </w:tcBorders>
            <w:shd w:val="clear" w:color="000000" w:fill="F2F2F2"/>
            <w:vAlign w:val="center"/>
            <w:hideMark/>
          </w:tcPr>
          <w:p w14:paraId="2AFCB4C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1,4</w:t>
            </w:r>
          </w:p>
        </w:tc>
        <w:tc>
          <w:tcPr>
            <w:tcW w:w="1300" w:type="dxa"/>
            <w:tcBorders>
              <w:top w:val="nil"/>
              <w:left w:val="nil"/>
              <w:bottom w:val="single" w:sz="4" w:space="0" w:color="BFBFBF"/>
              <w:right w:val="single" w:sz="4" w:space="0" w:color="BFBFBF"/>
            </w:tcBorders>
            <w:shd w:val="clear" w:color="000000" w:fill="F2F2F2"/>
            <w:vAlign w:val="center"/>
            <w:hideMark/>
          </w:tcPr>
          <w:p w14:paraId="3BAFE187"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1,7</w:t>
            </w:r>
          </w:p>
        </w:tc>
        <w:tc>
          <w:tcPr>
            <w:tcW w:w="960" w:type="dxa"/>
            <w:tcBorders>
              <w:top w:val="nil"/>
              <w:left w:val="nil"/>
              <w:bottom w:val="single" w:sz="4" w:space="0" w:color="BFBFBF"/>
              <w:right w:val="single" w:sz="4" w:space="0" w:color="BFBFBF"/>
            </w:tcBorders>
            <w:shd w:val="clear" w:color="000000" w:fill="D9E1F2"/>
            <w:vAlign w:val="center"/>
            <w:hideMark/>
          </w:tcPr>
          <w:p w14:paraId="656BCA7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w:t>
            </w:r>
          </w:p>
        </w:tc>
        <w:tc>
          <w:tcPr>
            <w:tcW w:w="1320" w:type="dxa"/>
            <w:tcBorders>
              <w:top w:val="nil"/>
              <w:left w:val="nil"/>
              <w:bottom w:val="single" w:sz="4" w:space="0" w:color="BFBFBF"/>
              <w:right w:val="single" w:sz="4" w:space="0" w:color="BFBFBF"/>
            </w:tcBorders>
            <w:shd w:val="clear" w:color="000000" w:fill="F2F2F2"/>
            <w:vAlign w:val="center"/>
            <w:hideMark/>
          </w:tcPr>
          <w:p w14:paraId="73430993"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w:t>
            </w:r>
          </w:p>
        </w:tc>
        <w:tc>
          <w:tcPr>
            <w:tcW w:w="1400" w:type="dxa"/>
            <w:tcBorders>
              <w:top w:val="nil"/>
              <w:left w:val="nil"/>
              <w:bottom w:val="single" w:sz="4" w:space="0" w:color="BFBFBF"/>
              <w:right w:val="nil"/>
            </w:tcBorders>
            <w:shd w:val="clear" w:color="000000" w:fill="F2F2F2"/>
            <w:vAlign w:val="center"/>
            <w:hideMark/>
          </w:tcPr>
          <w:p w14:paraId="6DD33E2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r>
      <w:tr w:rsidR="00A47E2B" w:rsidRPr="00A47E2B" w14:paraId="78C4151F"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1BDF0C7E"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Especializadas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E</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56EF0F25"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240" w:type="dxa"/>
            <w:tcBorders>
              <w:top w:val="nil"/>
              <w:left w:val="nil"/>
              <w:bottom w:val="single" w:sz="4" w:space="0" w:color="BFBFBF"/>
              <w:right w:val="single" w:sz="4" w:space="0" w:color="BFBFBF"/>
            </w:tcBorders>
            <w:shd w:val="clear" w:color="auto" w:fill="auto"/>
            <w:vAlign w:val="center"/>
            <w:hideMark/>
          </w:tcPr>
          <w:p w14:paraId="2C24E253"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1,4</w:t>
            </w:r>
          </w:p>
        </w:tc>
        <w:tc>
          <w:tcPr>
            <w:tcW w:w="1300" w:type="dxa"/>
            <w:tcBorders>
              <w:top w:val="nil"/>
              <w:left w:val="nil"/>
              <w:bottom w:val="single" w:sz="4" w:space="0" w:color="BFBFBF"/>
              <w:right w:val="single" w:sz="4" w:space="0" w:color="BFBFBF"/>
            </w:tcBorders>
            <w:shd w:val="clear" w:color="auto" w:fill="auto"/>
            <w:vAlign w:val="center"/>
            <w:hideMark/>
          </w:tcPr>
          <w:p w14:paraId="1E0B428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1,7</w:t>
            </w:r>
          </w:p>
        </w:tc>
        <w:tc>
          <w:tcPr>
            <w:tcW w:w="960" w:type="dxa"/>
            <w:tcBorders>
              <w:top w:val="nil"/>
              <w:left w:val="nil"/>
              <w:bottom w:val="single" w:sz="4" w:space="0" w:color="BFBFBF"/>
              <w:right w:val="single" w:sz="4" w:space="0" w:color="BFBFBF"/>
            </w:tcBorders>
            <w:shd w:val="clear" w:color="000000" w:fill="D9E1F2"/>
            <w:vAlign w:val="center"/>
            <w:hideMark/>
          </w:tcPr>
          <w:p w14:paraId="3102F2C1"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w:t>
            </w:r>
          </w:p>
        </w:tc>
        <w:tc>
          <w:tcPr>
            <w:tcW w:w="1320" w:type="dxa"/>
            <w:tcBorders>
              <w:top w:val="nil"/>
              <w:left w:val="nil"/>
              <w:bottom w:val="single" w:sz="4" w:space="0" w:color="BFBFBF"/>
              <w:right w:val="single" w:sz="4" w:space="0" w:color="BFBFBF"/>
            </w:tcBorders>
            <w:shd w:val="clear" w:color="auto" w:fill="auto"/>
            <w:vAlign w:val="center"/>
            <w:hideMark/>
          </w:tcPr>
          <w:p w14:paraId="5927B02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w:t>
            </w:r>
          </w:p>
        </w:tc>
        <w:tc>
          <w:tcPr>
            <w:tcW w:w="1400" w:type="dxa"/>
            <w:tcBorders>
              <w:top w:val="nil"/>
              <w:left w:val="nil"/>
              <w:bottom w:val="single" w:sz="4" w:space="0" w:color="BFBFBF"/>
              <w:right w:val="nil"/>
            </w:tcBorders>
            <w:shd w:val="clear" w:color="auto" w:fill="auto"/>
            <w:vAlign w:val="center"/>
            <w:hideMark/>
          </w:tcPr>
          <w:p w14:paraId="629E94E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r>
      <w:tr w:rsidR="00A47E2B" w:rsidRPr="00A47E2B" w14:paraId="72CA2D4A"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156B3BFA"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Especializadas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F</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4DE8A715"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240" w:type="dxa"/>
            <w:tcBorders>
              <w:top w:val="nil"/>
              <w:left w:val="nil"/>
              <w:bottom w:val="single" w:sz="4" w:space="0" w:color="BFBFBF"/>
              <w:right w:val="single" w:sz="4" w:space="0" w:color="BFBFBF"/>
            </w:tcBorders>
            <w:shd w:val="clear" w:color="000000" w:fill="F2F2F2"/>
            <w:vAlign w:val="center"/>
            <w:hideMark/>
          </w:tcPr>
          <w:p w14:paraId="715EB27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1,4</w:t>
            </w:r>
          </w:p>
        </w:tc>
        <w:tc>
          <w:tcPr>
            <w:tcW w:w="1300" w:type="dxa"/>
            <w:tcBorders>
              <w:top w:val="nil"/>
              <w:left w:val="nil"/>
              <w:bottom w:val="single" w:sz="4" w:space="0" w:color="BFBFBF"/>
              <w:right w:val="single" w:sz="4" w:space="0" w:color="BFBFBF"/>
            </w:tcBorders>
            <w:shd w:val="clear" w:color="000000" w:fill="F2F2F2"/>
            <w:vAlign w:val="center"/>
            <w:hideMark/>
          </w:tcPr>
          <w:p w14:paraId="58F2216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1,7</w:t>
            </w:r>
          </w:p>
        </w:tc>
        <w:tc>
          <w:tcPr>
            <w:tcW w:w="960" w:type="dxa"/>
            <w:tcBorders>
              <w:top w:val="nil"/>
              <w:left w:val="nil"/>
              <w:bottom w:val="single" w:sz="4" w:space="0" w:color="BFBFBF"/>
              <w:right w:val="single" w:sz="4" w:space="0" w:color="BFBFBF"/>
            </w:tcBorders>
            <w:shd w:val="clear" w:color="000000" w:fill="D9E1F2"/>
            <w:vAlign w:val="center"/>
            <w:hideMark/>
          </w:tcPr>
          <w:p w14:paraId="5BF93F78"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w:t>
            </w:r>
          </w:p>
        </w:tc>
        <w:tc>
          <w:tcPr>
            <w:tcW w:w="1320" w:type="dxa"/>
            <w:tcBorders>
              <w:top w:val="nil"/>
              <w:left w:val="nil"/>
              <w:bottom w:val="single" w:sz="4" w:space="0" w:color="BFBFBF"/>
              <w:right w:val="single" w:sz="4" w:space="0" w:color="BFBFBF"/>
            </w:tcBorders>
            <w:shd w:val="clear" w:color="000000" w:fill="F2F2F2"/>
            <w:vAlign w:val="center"/>
            <w:hideMark/>
          </w:tcPr>
          <w:p w14:paraId="0404B58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w:t>
            </w:r>
          </w:p>
        </w:tc>
        <w:tc>
          <w:tcPr>
            <w:tcW w:w="1400" w:type="dxa"/>
            <w:tcBorders>
              <w:top w:val="nil"/>
              <w:left w:val="nil"/>
              <w:bottom w:val="single" w:sz="4" w:space="0" w:color="BFBFBF"/>
              <w:right w:val="nil"/>
            </w:tcBorders>
            <w:shd w:val="clear" w:color="000000" w:fill="F2F2F2"/>
            <w:vAlign w:val="center"/>
            <w:hideMark/>
          </w:tcPr>
          <w:p w14:paraId="43B4310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r>
      <w:tr w:rsidR="00A47E2B" w:rsidRPr="00A47E2B" w14:paraId="5ACE7E47"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513855DC"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Especializadas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G</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7942BB0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240" w:type="dxa"/>
            <w:tcBorders>
              <w:top w:val="nil"/>
              <w:left w:val="nil"/>
              <w:bottom w:val="single" w:sz="4" w:space="0" w:color="BFBFBF"/>
              <w:right w:val="single" w:sz="4" w:space="0" w:color="BFBFBF"/>
            </w:tcBorders>
            <w:shd w:val="clear" w:color="auto" w:fill="auto"/>
            <w:vAlign w:val="center"/>
            <w:hideMark/>
          </w:tcPr>
          <w:p w14:paraId="100CE64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1,4</w:t>
            </w:r>
          </w:p>
        </w:tc>
        <w:tc>
          <w:tcPr>
            <w:tcW w:w="1300" w:type="dxa"/>
            <w:tcBorders>
              <w:top w:val="nil"/>
              <w:left w:val="nil"/>
              <w:bottom w:val="single" w:sz="4" w:space="0" w:color="BFBFBF"/>
              <w:right w:val="single" w:sz="4" w:space="0" w:color="BFBFBF"/>
            </w:tcBorders>
            <w:shd w:val="clear" w:color="auto" w:fill="auto"/>
            <w:vAlign w:val="center"/>
            <w:hideMark/>
          </w:tcPr>
          <w:p w14:paraId="59EB5EF3"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1,7</w:t>
            </w:r>
          </w:p>
        </w:tc>
        <w:tc>
          <w:tcPr>
            <w:tcW w:w="960" w:type="dxa"/>
            <w:tcBorders>
              <w:top w:val="nil"/>
              <w:left w:val="nil"/>
              <w:bottom w:val="single" w:sz="4" w:space="0" w:color="BFBFBF"/>
              <w:right w:val="single" w:sz="4" w:space="0" w:color="BFBFBF"/>
            </w:tcBorders>
            <w:shd w:val="clear" w:color="000000" w:fill="D9E1F2"/>
            <w:vAlign w:val="center"/>
            <w:hideMark/>
          </w:tcPr>
          <w:p w14:paraId="35A687B7"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w:t>
            </w:r>
          </w:p>
        </w:tc>
        <w:tc>
          <w:tcPr>
            <w:tcW w:w="1320" w:type="dxa"/>
            <w:tcBorders>
              <w:top w:val="nil"/>
              <w:left w:val="nil"/>
              <w:bottom w:val="single" w:sz="4" w:space="0" w:color="BFBFBF"/>
              <w:right w:val="single" w:sz="4" w:space="0" w:color="BFBFBF"/>
            </w:tcBorders>
            <w:shd w:val="clear" w:color="auto" w:fill="auto"/>
            <w:vAlign w:val="center"/>
            <w:hideMark/>
          </w:tcPr>
          <w:p w14:paraId="50B13F7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w:t>
            </w:r>
          </w:p>
        </w:tc>
        <w:tc>
          <w:tcPr>
            <w:tcW w:w="1400" w:type="dxa"/>
            <w:tcBorders>
              <w:top w:val="nil"/>
              <w:left w:val="nil"/>
              <w:bottom w:val="single" w:sz="4" w:space="0" w:color="BFBFBF"/>
              <w:right w:val="nil"/>
            </w:tcBorders>
            <w:shd w:val="clear" w:color="auto" w:fill="auto"/>
            <w:vAlign w:val="center"/>
            <w:hideMark/>
          </w:tcPr>
          <w:p w14:paraId="3ADD673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r>
      <w:tr w:rsidR="00A47E2B" w:rsidRPr="00A47E2B" w14:paraId="3A81BC02"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3ECF51F2"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Especializadas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H</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328776D3"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240" w:type="dxa"/>
            <w:tcBorders>
              <w:top w:val="nil"/>
              <w:left w:val="nil"/>
              <w:bottom w:val="single" w:sz="4" w:space="0" w:color="BFBFBF"/>
              <w:right w:val="single" w:sz="4" w:space="0" w:color="BFBFBF"/>
            </w:tcBorders>
            <w:shd w:val="clear" w:color="000000" w:fill="F2F2F2"/>
            <w:vAlign w:val="center"/>
            <w:hideMark/>
          </w:tcPr>
          <w:p w14:paraId="11E6423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1,4</w:t>
            </w:r>
          </w:p>
        </w:tc>
        <w:tc>
          <w:tcPr>
            <w:tcW w:w="1300" w:type="dxa"/>
            <w:tcBorders>
              <w:top w:val="nil"/>
              <w:left w:val="nil"/>
              <w:bottom w:val="single" w:sz="4" w:space="0" w:color="BFBFBF"/>
              <w:right w:val="single" w:sz="4" w:space="0" w:color="BFBFBF"/>
            </w:tcBorders>
            <w:shd w:val="clear" w:color="000000" w:fill="F2F2F2"/>
            <w:vAlign w:val="center"/>
            <w:hideMark/>
          </w:tcPr>
          <w:p w14:paraId="4985F47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1,7</w:t>
            </w:r>
          </w:p>
        </w:tc>
        <w:tc>
          <w:tcPr>
            <w:tcW w:w="960" w:type="dxa"/>
            <w:tcBorders>
              <w:top w:val="nil"/>
              <w:left w:val="nil"/>
              <w:bottom w:val="single" w:sz="4" w:space="0" w:color="BFBFBF"/>
              <w:right w:val="single" w:sz="4" w:space="0" w:color="BFBFBF"/>
            </w:tcBorders>
            <w:shd w:val="clear" w:color="000000" w:fill="D9E1F2"/>
            <w:vAlign w:val="center"/>
            <w:hideMark/>
          </w:tcPr>
          <w:p w14:paraId="3301636F"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w:t>
            </w:r>
          </w:p>
        </w:tc>
        <w:tc>
          <w:tcPr>
            <w:tcW w:w="1320" w:type="dxa"/>
            <w:tcBorders>
              <w:top w:val="nil"/>
              <w:left w:val="nil"/>
              <w:bottom w:val="single" w:sz="4" w:space="0" w:color="BFBFBF"/>
              <w:right w:val="single" w:sz="4" w:space="0" w:color="BFBFBF"/>
            </w:tcBorders>
            <w:shd w:val="clear" w:color="000000" w:fill="F2F2F2"/>
            <w:vAlign w:val="center"/>
            <w:hideMark/>
          </w:tcPr>
          <w:p w14:paraId="5750751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2,5</w:t>
            </w:r>
          </w:p>
        </w:tc>
        <w:tc>
          <w:tcPr>
            <w:tcW w:w="1400" w:type="dxa"/>
            <w:tcBorders>
              <w:top w:val="nil"/>
              <w:left w:val="nil"/>
              <w:bottom w:val="single" w:sz="4" w:space="0" w:color="BFBFBF"/>
              <w:right w:val="nil"/>
            </w:tcBorders>
            <w:shd w:val="clear" w:color="000000" w:fill="F2F2F2"/>
            <w:vAlign w:val="center"/>
            <w:hideMark/>
          </w:tcPr>
          <w:p w14:paraId="44A9A091"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3</w:t>
            </w:r>
          </w:p>
        </w:tc>
      </w:tr>
      <w:tr w:rsidR="00A47E2B" w:rsidRPr="00A47E2B" w14:paraId="6C1A6F38"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1E1670B2"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Administrativas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A</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5DEE199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0,5</w:t>
            </w:r>
          </w:p>
        </w:tc>
        <w:tc>
          <w:tcPr>
            <w:tcW w:w="1240" w:type="dxa"/>
            <w:tcBorders>
              <w:top w:val="nil"/>
              <w:left w:val="nil"/>
              <w:bottom w:val="single" w:sz="4" w:space="0" w:color="BFBFBF"/>
              <w:right w:val="single" w:sz="4" w:space="0" w:color="BFBFBF"/>
            </w:tcBorders>
            <w:shd w:val="clear" w:color="auto" w:fill="auto"/>
            <w:vAlign w:val="center"/>
            <w:hideMark/>
          </w:tcPr>
          <w:p w14:paraId="12583675"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0,7</w:t>
            </w:r>
          </w:p>
        </w:tc>
        <w:tc>
          <w:tcPr>
            <w:tcW w:w="1300" w:type="dxa"/>
            <w:tcBorders>
              <w:top w:val="nil"/>
              <w:left w:val="nil"/>
              <w:bottom w:val="single" w:sz="4" w:space="0" w:color="BFBFBF"/>
              <w:right w:val="single" w:sz="4" w:space="0" w:color="BFBFBF"/>
            </w:tcBorders>
            <w:shd w:val="clear" w:color="auto" w:fill="auto"/>
            <w:vAlign w:val="center"/>
            <w:hideMark/>
          </w:tcPr>
          <w:p w14:paraId="5D2DEB5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0,85</w:t>
            </w:r>
          </w:p>
        </w:tc>
        <w:tc>
          <w:tcPr>
            <w:tcW w:w="960" w:type="dxa"/>
            <w:tcBorders>
              <w:top w:val="nil"/>
              <w:left w:val="nil"/>
              <w:bottom w:val="single" w:sz="4" w:space="0" w:color="BFBFBF"/>
              <w:right w:val="single" w:sz="4" w:space="0" w:color="BFBFBF"/>
            </w:tcBorders>
            <w:shd w:val="clear" w:color="000000" w:fill="D9E1F2"/>
            <w:vAlign w:val="center"/>
            <w:hideMark/>
          </w:tcPr>
          <w:p w14:paraId="45AB25D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320" w:type="dxa"/>
            <w:tcBorders>
              <w:top w:val="nil"/>
              <w:left w:val="nil"/>
              <w:bottom w:val="single" w:sz="4" w:space="0" w:color="BFBFBF"/>
              <w:right w:val="single" w:sz="4" w:space="0" w:color="BFBFBF"/>
            </w:tcBorders>
            <w:shd w:val="clear" w:color="auto" w:fill="auto"/>
            <w:vAlign w:val="center"/>
            <w:hideMark/>
          </w:tcPr>
          <w:p w14:paraId="51D7F895"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1,25</w:t>
            </w:r>
          </w:p>
        </w:tc>
        <w:tc>
          <w:tcPr>
            <w:tcW w:w="1400" w:type="dxa"/>
            <w:tcBorders>
              <w:top w:val="nil"/>
              <w:left w:val="nil"/>
              <w:bottom w:val="single" w:sz="4" w:space="0" w:color="BFBFBF"/>
              <w:right w:val="nil"/>
            </w:tcBorders>
            <w:shd w:val="clear" w:color="auto" w:fill="auto"/>
            <w:vAlign w:val="center"/>
            <w:hideMark/>
          </w:tcPr>
          <w:p w14:paraId="6568448B"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r>
      <w:tr w:rsidR="00A47E2B" w:rsidRPr="00A47E2B" w14:paraId="1C15120C"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4D29B8AB"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Administrativas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C</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549E65B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0,5</w:t>
            </w:r>
          </w:p>
        </w:tc>
        <w:tc>
          <w:tcPr>
            <w:tcW w:w="1240" w:type="dxa"/>
            <w:tcBorders>
              <w:top w:val="nil"/>
              <w:left w:val="nil"/>
              <w:bottom w:val="single" w:sz="4" w:space="0" w:color="BFBFBF"/>
              <w:right w:val="single" w:sz="4" w:space="0" w:color="BFBFBF"/>
            </w:tcBorders>
            <w:shd w:val="clear" w:color="000000" w:fill="F2F2F2"/>
            <w:vAlign w:val="center"/>
            <w:hideMark/>
          </w:tcPr>
          <w:p w14:paraId="5BB1F9E5"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0,7</w:t>
            </w:r>
          </w:p>
        </w:tc>
        <w:tc>
          <w:tcPr>
            <w:tcW w:w="1300" w:type="dxa"/>
            <w:tcBorders>
              <w:top w:val="nil"/>
              <w:left w:val="nil"/>
              <w:bottom w:val="single" w:sz="4" w:space="0" w:color="BFBFBF"/>
              <w:right w:val="single" w:sz="4" w:space="0" w:color="BFBFBF"/>
            </w:tcBorders>
            <w:shd w:val="clear" w:color="000000" w:fill="F2F2F2"/>
            <w:vAlign w:val="center"/>
            <w:hideMark/>
          </w:tcPr>
          <w:p w14:paraId="55CCB828"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0,85</w:t>
            </w:r>
          </w:p>
        </w:tc>
        <w:tc>
          <w:tcPr>
            <w:tcW w:w="960" w:type="dxa"/>
            <w:tcBorders>
              <w:top w:val="nil"/>
              <w:left w:val="nil"/>
              <w:bottom w:val="single" w:sz="4" w:space="0" w:color="BFBFBF"/>
              <w:right w:val="single" w:sz="4" w:space="0" w:color="BFBFBF"/>
            </w:tcBorders>
            <w:shd w:val="clear" w:color="000000" w:fill="D9E1F2"/>
            <w:vAlign w:val="center"/>
            <w:hideMark/>
          </w:tcPr>
          <w:p w14:paraId="29C1BAF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320" w:type="dxa"/>
            <w:tcBorders>
              <w:top w:val="nil"/>
              <w:left w:val="nil"/>
              <w:bottom w:val="single" w:sz="4" w:space="0" w:color="BFBFBF"/>
              <w:right w:val="single" w:sz="4" w:space="0" w:color="BFBFBF"/>
            </w:tcBorders>
            <w:shd w:val="clear" w:color="000000" w:fill="F2F2F2"/>
            <w:vAlign w:val="center"/>
            <w:hideMark/>
          </w:tcPr>
          <w:p w14:paraId="082D4BF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1,25</w:t>
            </w:r>
          </w:p>
        </w:tc>
        <w:tc>
          <w:tcPr>
            <w:tcW w:w="1400" w:type="dxa"/>
            <w:tcBorders>
              <w:top w:val="nil"/>
              <w:left w:val="nil"/>
              <w:bottom w:val="single" w:sz="4" w:space="0" w:color="BFBFBF"/>
              <w:right w:val="nil"/>
            </w:tcBorders>
            <w:shd w:val="clear" w:color="000000" w:fill="F2F2F2"/>
            <w:vAlign w:val="center"/>
            <w:hideMark/>
          </w:tcPr>
          <w:p w14:paraId="4CC77D0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r>
      <w:tr w:rsidR="00A47E2B" w:rsidRPr="00A47E2B" w14:paraId="3807BAB9"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6F622448"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Administrativas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D</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2316DAC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0,5</w:t>
            </w:r>
          </w:p>
        </w:tc>
        <w:tc>
          <w:tcPr>
            <w:tcW w:w="1240" w:type="dxa"/>
            <w:tcBorders>
              <w:top w:val="nil"/>
              <w:left w:val="nil"/>
              <w:bottom w:val="single" w:sz="4" w:space="0" w:color="BFBFBF"/>
              <w:right w:val="single" w:sz="4" w:space="0" w:color="BFBFBF"/>
            </w:tcBorders>
            <w:shd w:val="clear" w:color="auto" w:fill="auto"/>
            <w:vAlign w:val="center"/>
            <w:hideMark/>
          </w:tcPr>
          <w:p w14:paraId="3ED3476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0,7</w:t>
            </w:r>
          </w:p>
        </w:tc>
        <w:tc>
          <w:tcPr>
            <w:tcW w:w="1300" w:type="dxa"/>
            <w:tcBorders>
              <w:top w:val="nil"/>
              <w:left w:val="nil"/>
              <w:bottom w:val="single" w:sz="4" w:space="0" w:color="BFBFBF"/>
              <w:right w:val="single" w:sz="4" w:space="0" w:color="BFBFBF"/>
            </w:tcBorders>
            <w:shd w:val="clear" w:color="auto" w:fill="auto"/>
            <w:vAlign w:val="center"/>
            <w:hideMark/>
          </w:tcPr>
          <w:p w14:paraId="4A66143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0,85</w:t>
            </w:r>
          </w:p>
        </w:tc>
        <w:tc>
          <w:tcPr>
            <w:tcW w:w="960" w:type="dxa"/>
            <w:tcBorders>
              <w:top w:val="nil"/>
              <w:left w:val="nil"/>
              <w:bottom w:val="single" w:sz="4" w:space="0" w:color="BFBFBF"/>
              <w:right w:val="single" w:sz="4" w:space="0" w:color="BFBFBF"/>
            </w:tcBorders>
            <w:shd w:val="clear" w:color="000000" w:fill="D9E1F2"/>
            <w:vAlign w:val="center"/>
            <w:hideMark/>
          </w:tcPr>
          <w:p w14:paraId="4922D38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320" w:type="dxa"/>
            <w:tcBorders>
              <w:top w:val="nil"/>
              <w:left w:val="nil"/>
              <w:bottom w:val="single" w:sz="4" w:space="0" w:color="BFBFBF"/>
              <w:right w:val="single" w:sz="4" w:space="0" w:color="BFBFBF"/>
            </w:tcBorders>
            <w:shd w:val="clear" w:color="auto" w:fill="auto"/>
            <w:vAlign w:val="center"/>
            <w:hideMark/>
          </w:tcPr>
          <w:p w14:paraId="581ACA4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1,25</w:t>
            </w:r>
          </w:p>
        </w:tc>
        <w:tc>
          <w:tcPr>
            <w:tcW w:w="1400" w:type="dxa"/>
            <w:tcBorders>
              <w:top w:val="nil"/>
              <w:left w:val="nil"/>
              <w:bottom w:val="single" w:sz="4" w:space="0" w:color="BFBFBF"/>
              <w:right w:val="nil"/>
            </w:tcBorders>
            <w:shd w:val="clear" w:color="auto" w:fill="auto"/>
            <w:vAlign w:val="center"/>
            <w:hideMark/>
          </w:tcPr>
          <w:p w14:paraId="16CFAC0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r>
      <w:tr w:rsidR="00A47E2B" w:rsidRPr="00A47E2B" w14:paraId="323B7F11"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1B9322CD"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Administrativas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E</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76AAD2E8"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0,5</w:t>
            </w:r>
          </w:p>
        </w:tc>
        <w:tc>
          <w:tcPr>
            <w:tcW w:w="1240" w:type="dxa"/>
            <w:tcBorders>
              <w:top w:val="nil"/>
              <w:left w:val="nil"/>
              <w:bottom w:val="single" w:sz="4" w:space="0" w:color="BFBFBF"/>
              <w:right w:val="single" w:sz="4" w:space="0" w:color="BFBFBF"/>
            </w:tcBorders>
            <w:shd w:val="clear" w:color="000000" w:fill="F2F2F2"/>
            <w:vAlign w:val="center"/>
            <w:hideMark/>
          </w:tcPr>
          <w:p w14:paraId="126A169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0,7</w:t>
            </w:r>
          </w:p>
        </w:tc>
        <w:tc>
          <w:tcPr>
            <w:tcW w:w="1300" w:type="dxa"/>
            <w:tcBorders>
              <w:top w:val="nil"/>
              <w:left w:val="nil"/>
              <w:bottom w:val="single" w:sz="4" w:space="0" w:color="BFBFBF"/>
              <w:right w:val="single" w:sz="4" w:space="0" w:color="BFBFBF"/>
            </w:tcBorders>
            <w:shd w:val="clear" w:color="000000" w:fill="F2F2F2"/>
            <w:vAlign w:val="center"/>
            <w:hideMark/>
          </w:tcPr>
          <w:p w14:paraId="0AF0EED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0,85</w:t>
            </w:r>
          </w:p>
        </w:tc>
        <w:tc>
          <w:tcPr>
            <w:tcW w:w="960" w:type="dxa"/>
            <w:tcBorders>
              <w:top w:val="nil"/>
              <w:left w:val="nil"/>
              <w:bottom w:val="single" w:sz="4" w:space="0" w:color="BFBFBF"/>
              <w:right w:val="single" w:sz="4" w:space="0" w:color="BFBFBF"/>
            </w:tcBorders>
            <w:shd w:val="clear" w:color="000000" w:fill="D9E1F2"/>
            <w:vAlign w:val="center"/>
            <w:hideMark/>
          </w:tcPr>
          <w:p w14:paraId="5807044B"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320" w:type="dxa"/>
            <w:tcBorders>
              <w:top w:val="nil"/>
              <w:left w:val="nil"/>
              <w:bottom w:val="single" w:sz="4" w:space="0" w:color="BFBFBF"/>
              <w:right w:val="single" w:sz="4" w:space="0" w:color="BFBFBF"/>
            </w:tcBorders>
            <w:shd w:val="clear" w:color="000000" w:fill="F2F2F2"/>
            <w:vAlign w:val="center"/>
            <w:hideMark/>
          </w:tcPr>
          <w:p w14:paraId="203CA3D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1,25</w:t>
            </w:r>
          </w:p>
        </w:tc>
        <w:tc>
          <w:tcPr>
            <w:tcW w:w="1400" w:type="dxa"/>
            <w:tcBorders>
              <w:top w:val="nil"/>
              <w:left w:val="nil"/>
              <w:bottom w:val="single" w:sz="4" w:space="0" w:color="BFBFBF"/>
              <w:right w:val="nil"/>
            </w:tcBorders>
            <w:shd w:val="clear" w:color="000000" w:fill="F2F2F2"/>
            <w:vAlign w:val="center"/>
            <w:hideMark/>
          </w:tcPr>
          <w:p w14:paraId="516531F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r>
      <w:tr w:rsidR="00A47E2B" w:rsidRPr="00A47E2B" w14:paraId="414BD422"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2F8685F2"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Administrativas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F</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56CD556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0,5</w:t>
            </w:r>
          </w:p>
        </w:tc>
        <w:tc>
          <w:tcPr>
            <w:tcW w:w="1240" w:type="dxa"/>
            <w:tcBorders>
              <w:top w:val="nil"/>
              <w:left w:val="nil"/>
              <w:bottom w:val="single" w:sz="4" w:space="0" w:color="BFBFBF"/>
              <w:right w:val="single" w:sz="4" w:space="0" w:color="BFBFBF"/>
            </w:tcBorders>
            <w:shd w:val="clear" w:color="auto" w:fill="auto"/>
            <w:vAlign w:val="center"/>
            <w:hideMark/>
          </w:tcPr>
          <w:p w14:paraId="1E531F80"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0,7</w:t>
            </w:r>
          </w:p>
        </w:tc>
        <w:tc>
          <w:tcPr>
            <w:tcW w:w="1300" w:type="dxa"/>
            <w:tcBorders>
              <w:top w:val="nil"/>
              <w:left w:val="nil"/>
              <w:bottom w:val="single" w:sz="4" w:space="0" w:color="BFBFBF"/>
              <w:right w:val="single" w:sz="4" w:space="0" w:color="BFBFBF"/>
            </w:tcBorders>
            <w:shd w:val="clear" w:color="auto" w:fill="auto"/>
            <w:vAlign w:val="center"/>
            <w:hideMark/>
          </w:tcPr>
          <w:p w14:paraId="75EC305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0,85</w:t>
            </w:r>
          </w:p>
        </w:tc>
        <w:tc>
          <w:tcPr>
            <w:tcW w:w="960" w:type="dxa"/>
            <w:tcBorders>
              <w:top w:val="nil"/>
              <w:left w:val="nil"/>
              <w:bottom w:val="single" w:sz="4" w:space="0" w:color="BFBFBF"/>
              <w:right w:val="single" w:sz="4" w:space="0" w:color="BFBFBF"/>
            </w:tcBorders>
            <w:shd w:val="clear" w:color="000000" w:fill="D9E1F2"/>
            <w:vAlign w:val="center"/>
            <w:hideMark/>
          </w:tcPr>
          <w:p w14:paraId="010848D7"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320" w:type="dxa"/>
            <w:tcBorders>
              <w:top w:val="nil"/>
              <w:left w:val="nil"/>
              <w:bottom w:val="single" w:sz="4" w:space="0" w:color="BFBFBF"/>
              <w:right w:val="single" w:sz="4" w:space="0" w:color="BFBFBF"/>
            </w:tcBorders>
            <w:shd w:val="clear" w:color="auto" w:fill="auto"/>
            <w:vAlign w:val="center"/>
            <w:hideMark/>
          </w:tcPr>
          <w:p w14:paraId="35DF06B2"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1,25</w:t>
            </w:r>
          </w:p>
        </w:tc>
        <w:tc>
          <w:tcPr>
            <w:tcW w:w="1400" w:type="dxa"/>
            <w:tcBorders>
              <w:top w:val="nil"/>
              <w:left w:val="nil"/>
              <w:bottom w:val="single" w:sz="4" w:space="0" w:color="BFBFBF"/>
              <w:right w:val="nil"/>
            </w:tcBorders>
            <w:shd w:val="clear" w:color="auto" w:fill="auto"/>
            <w:vAlign w:val="center"/>
            <w:hideMark/>
          </w:tcPr>
          <w:p w14:paraId="4810A30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r>
      <w:tr w:rsidR="00A47E2B" w:rsidRPr="00A47E2B" w14:paraId="11364BF7" w14:textId="77777777" w:rsidTr="00A47E2B">
        <w:trPr>
          <w:trHeight w:val="528"/>
        </w:trPr>
        <w:tc>
          <w:tcPr>
            <w:tcW w:w="3060" w:type="dxa"/>
            <w:tcBorders>
              <w:top w:val="nil"/>
              <w:left w:val="nil"/>
              <w:bottom w:val="single" w:sz="4" w:space="0" w:color="BFBFBF"/>
              <w:right w:val="nil"/>
            </w:tcBorders>
            <w:shd w:val="clear" w:color="000000" w:fill="F2F2F2"/>
            <w:vAlign w:val="center"/>
            <w:hideMark/>
          </w:tcPr>
          <w:p w14:paraId="1515EEDA"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Administrativas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G</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0578D427"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0,5</w:t>
            </w:r>
          </w:p>
        </w:tc>
        <w:tc>
          <w:tcPr>
            <w:tcW w:w="1240" w:type="dxa"/>
            <w:tcBorders>
              <w:top w:val="nil"/>
              <w:left w:val="nil"/>
              <w:bottom w:val="single" w:sz="4" w:space="0" w:color="BFBFBF"/>
              <w:right w:val="single" w:sz="4" w:space="0" w:color="BFBFBF"/>
            </w:tcBorders>
            <w:shd w:val="clear" w:color="000000" w:fill="F2F2F2"/>
            <w:vAlign w:val="center"/>
            <w:hideMark/>
          </w:tcPr>
          <w:p w14:paraId="076F7D11"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0,7</w:t>
            </w:r>
          </w:p>
        </w:tc>
        <w:tc>
          <w:tcPr>
            <w:tcW w:w="1300" w:type="dxa"/>
            <w:tcBorders>
              <w:top w:val="nil"/>
              <w:left w:val="nil"/>
              <w:bottom w:val="single" w:sz="4" w:space="0" w:color="BFBFBF"/>
              <w:right w:val="single" w:sz="4" w:space="0" w:color="BFBFBF"/>
            </w:tcBorders>
            <w:shd w:val="clear" w:color="000000" w:fill="F2F2F2"/>
            <w:vAlign w:val="center"/>
            <w:hideMark/>
          </w:tcPr>
          <w:p w14:paraId="5B1D9EAF"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0,85</w:t>
            </w:r>
          </w:p>
        </w:tc>
        <w:tc>
          <w:tcPr>
            <w:tcW w:w="960" w:type="dxa"/>
            <w:tcBorders>
              <w:top w:val="nil"/>
              <w:left w:val="nil"/>
              <w:bottom w:val="single" w:sz="4" w:space="0" w:color="BFBFBF"/>
              <w:right w:val="single" w:sz="4" w:space="0" w:color="BFBFBF"/>
            </w:tcBorders>
            <w:shd w:val="clear" w:color="000000" w:fill="D9E1F2"/>
            <w:vAlign w:val="center"/>
            <w:hideMark/>
          </w:tcPr>
          <w:p w14:paraId="1A5D918B"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320" w:type="dxa"/>
            <w:tcBorders>
              <w:top w:val="nil"/>
              <w:left w:val="nil"/>
              <w:bottom w:val="single" w:sz="4" w:space="0" w:color="BFBFBF"/>
              <w:right w:val="single" w:sz="4" w:space="0" w:color="BFBFBF"/>
            </w:tcBorders>
            <w:shd w:val="clear" w:color="000000" w:fill="F2F2F2"/>
            <w:vAlign w:val="center"/>
            <w:hideMark/>
          </w:tcPr>
          <w:p w14:paraId="12A53F8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1,25</w:t>
            </w:r>
          </w:p>
        </w:tc>
        <w:tc>
          <w:tcPr>
            <w:tcW w:w="1400" w:type="dxa"/>
            <w:tcBorders>
              <w:top w:val="nil"/>
              <w:left w:val="nil"/>
              <w:bottom w:val="single" w:sz="4" w:space="0" w:color="BFBFBF"/>
              <w:right w:val="nil"/>
            </w:tcBorders>
            <w:shd w:val="clear" w:color="000000" w:fill="F2F2F2"/>
            <w:vAlign w:val="center"/>
            <w:hideMark/>
          </w:tcPr>
          <w:p w14:paraId="688353E4"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r>
      <w:tr w:rsidR="00A47E2B" w:rsidRPr="00A47E2B" w14:paraId="40FC1122"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6B0CF90D"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Funções Administrativas</w:t>
            </w:r>
            <w:r w:rsidRPr="00A47E2B">
              <w:rPr>
                <w:rFonts w:ascii="Calibri" w:eastAsia="Times New Roman" w:hAnsi="Calibri" w:cs="Calibri"/>
                <w:color w:val="000000"/>
                <w:sz w:val="20"/>
                <w:szCs w:val="20"/>
                <w:lang w:eastAsia="pt-BR"/>
              </w:rPr>
              <w:br/>
            </w:r>
            <w:r w:rsidRPr="00A47E2B">
              <w:rPr>
                <w:rFonts w:ascii="Calibri" w:eastAsia="Times New Roman" w:hAnsi="Calibri" w:cs="Calibri"/>
                <w:color w:val="000000"/>
                <w:sz w:val="16"/>
                <w:szCs w:val="16"/>
                <w:lang w:eastAsia="pt-BR"/>
              </w:rPr>
              <w:t>Nível de Comissionamento H</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6BBB5C02"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0,5</w:t>
            </w:r>
          </w:p>
        </w:tc>
        <w:tc>
          <w:tcPr>
            <w:tcW w:w="1240" w:type="dxa"/>
            <w:tcBorders>
              <w:top w:val="nil"/>
              <w:left w:val="nil"/>
              <w:bottom w:val="single" w:sz="4" w:space="0" w:color="BFBFBF"/>
              <w:right w:val="single" w:sz="4" w:space="0" w:color="BFBFBF"/>
            </w:tcBorders>
            <w:shd w:val="clear" w:color="auto" w:fill="auto"/>
            <w:vAlign w:val="center"/>
            <w:hideMark/>
          </w:tcPr>
          <w:p w14:paraId="0DC5B55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0,7</w:t>
            </w:r>
          </w:p>
        </w:tc>
        <w:tc>
          <w:tcPr>
            <w:tcW w:w="1300" w:type="dxa"/>
            <w:tcBorders>
              <w:top w:val="nil"/>
              <w:left w:val="nil"/>
              <w:bottom w:val="single" w:sz="4" w:space="0" w:color="BFBFBF"/>
              <w:right w:val="single" w:sz="4" w:space="0" w:color="BFBFBF"/>
            </w:tcBorders>
            <w:shd w:val="clear" w:color="auto" w:fill="auto"/>
            <w:vAlign w:val="center"/>
            <w:hideMark/>
          </w:tcPr>
          <w:p w14:paraId="74CA5A6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0,85</w:t>
            </w:r>
          </w:p>
        </w:tc>
        <w:tc>
          <w:tcPr>
            <w:tcW w:w="960" w:type="dxa"/>
            <w:tcBorders>
              <w:top w:val="nil"/>
              <w:left w:val="nil"/>
              <w:bottom w:val="single" w:sz="4" w:space="0" w:color="BFBFBF"/>
              <w:right w:val="single" w:sz="4" w:space="0" w:color="BFBFBF"/>
            </w:tcBorders>
            <w:shd w:val="clear" w:color="000000" w:fill="D9E1F2"/>
            <w:vAlign w:val="center"/>
            <w:hideMark/>
          </w:tcPr>
          <w:p w14:paraId="11FB7AD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320" w:type="dxa"/>
            <w:tcBorders>
              <w:top w:val="nil"/>
              <w:left w:val="nil"/>
              <w:bottom w:val="single" w:sz="4" w:space="0" w:color="BFBFBF"/>
              <w:right w:val="single" w:sz="4" w:space="0" w:color="BFBFBF"/>
            </w:tcBorders>
            <w:shd w:val="clear" w:color="auto" w:fill="auto"/>
            <w:vAlign w:val="center"/>
            <w:hideMark/>
          </w:tcPr>
          <w:p w14:paraId="77A5288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1,25</w:t>
            </w:r>
          </w:p>
        </w:tc>
        <w:tc>
          <w:tcPr>
            <w:tcW w:w="1400" w:type="dxa"/>
            <w:tcBorders>
              <w:top w:val="nil"/>
              <w:left w:val="nil"/>
              <w:bottom w:val="single" w:sz="4" w:space="0" w:color="BFBFBF"/>
              <w:right w:val="nil"/>
            </w:tcBorders>
            <w:shd w:val="clear" w:color="auto" w:fill="auto"/>
            <w:vAlign w:val="center"/>
            <w:hideMark/>
          </w:tcPr>
          <w:p w14:paraId="1611B93D"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r>
      <w:tr w:rsidR="00A47E2B" w:rsidRPr="00A47E2B" w14:paraId="4EA91ACE" w14:textId="77777777" w:rsidTr="00A47E2B">
        <w:trPr>
          <w:trHeight w:val="636"/>
        </w:trPr>
        <w:tc>
          <w:tcPr>
            <w:tcW w:w="3060" w:type="dxa"/>
            <w:tcBorders>
              <w:top w:val="nil"/>
              <w:left w:val="nil"/>
              <w:bottom w:val="single" w:sz="4" w:space="0" w:color="BFBFBF"/>
              <w:right w:val="nil"/>
            </w:tcBorders>
            <w:shd w:val="clear" w:color="000000" w:fill="F2F2F2"/>
            <w:vAlign w:val="center"/>
            <w:hideMark/>
          </w:tcPr>
          <w:p w14:paraId="212A1321"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Empregos em Comissão</w:t>
            </w:r>
          </w:p>
        </w:tc>
        <w:tc>
          <w:tcPr>
            <w:tcW w:w="1160" w:type="dxa"/>
            <w:tcBorders>
              <w:top w:val="nil"/>
              <w:left w:val="single" w:sz="4" w:space="0" w:color="BFBFBF"/>
              <w:bottom w:val="single" w:sz="4" w:space="0" w:color="BFBFBF"/>
              <w:right w:val="single" w:sz="4" w:space="0" w:color="BFBFBF"/>
            </w:tcBorders>
            <w:shd w:val="clear" w:color="000000" w:fill="F2F2F2"/>
            <w:vAlign w:val="center"/>
            <w:hideMark/>
          </w:tcPr>
          <w:p w14:paraId="662CA14B"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0,5</w:t>
            </w:r>
          </w:p>
        </w:tc>
        <w:tc>
          <w:tcPr>
            <w:tcW w:w="1240" w:type="dxa"/>
            <w:tcBorders>
              <w:top w:val="nil"/>
              <w:left w:val="nil"/>
              <w:bottom w:val="single" w:sz="4" w:space="0" w:color="BFBFBF"/>
              <w:right w:val="single" w:sz="4" w:space="0" w:color="BFBFBF"/>
            </w:tcBorders>
            <w:shd w:val="clear" w:color="000000" w:fill="F2F2F2"/>
            <w:vAlign w:val="center"/>
            <w:hideMark/>
          </w:tcPr>
          <w:p w14:paraId="59349EF3"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0,7</w:t>
            </w:r>
          </w:p>
        </w:tc>
        <w:tc>
          <w:tcPr>
            <w:tcW w:w="1300" w:type="dxa"/>
            <w:tcBorders>
              <w:top w:val="nil"/>
              <w:left w:val="nil"/>
              <w:bottom w:val="single" w:sz="4" w:space="0" w:color="BFBFBF"/>
              <w:right w:val="single" w:sz="4" w:space="0" w:color="BFBFBF"/>
            </w:tcBorders>
            <w:shd w:val="clear" w:color="000000" w:fill="F2F2F2"/>
            <w:vAlign w:val="center"/>
            <w:hideMark/>
          </w:tcPr>
          <w:p w14:paraId="52C2AEE9"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0,85</w:t>
            </w:r>
          </w:p>
        </w:tc>
        <w:tc>
          <w:tcPr>
            <w:tcW w:w="960" w:type="dxa"/>
            <w:tcBorders>
              <w:top w:val="nil"/>
              <w:left w:val="nil"/>
              <w:bottom w:val="single" w:sz="4" w:space="0" w:color="BFBFBF"/>
              <w:right w:val="single" w:sz="4" w:space="0" w:color="BFBFBF"/>
            </w:tcBorders>
            <w:shd w:val="clear" w:color="000000" w:fill="D9E1F2"/>
            <w:vAlign w:val="center"/>
            <w:hideMark/>
          </w:tcPr>
          <w:p w14:paraId="11BD0A4C"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w:t>
            </w:r>
          </w:p>
        </w:tc>
        <w:tc>
          <w:tcPr>
            <w:tcW w:w="1320" w:type="dxa"/>
            <w:tcBorders>
              <w:top w:val="nil"/>
              <w:left w:val="nil"/>
              <w:bottom w:val="single" w:sz="4" w:space="0" w:color="BFBFBF"/>
              <w:right w:val="single" w:sz="4" w:space="0" w:color="BFBFBF"/>
            </w:tcBorders>
            <w:shd w:val="clear" w:color="000000" w:fill="F2F2F2"/>
            <w:vAlign w:val="center"/>
            <w:hideMark/>
          </w:tcPr>
          <w:p w14:paraId="1C40BD6F"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1,25</w:t>
            </w:r>
          </w:p>
        </w:tc>
        <w:tc>
          <w:tcPr>
            <w:tcW w:w="1400" w:type="dxa"/>
            <w:tcBorders>
              <w:top w:val="nil"/>
              <w:left w:val="nil"/>
              <w:bottom w:val="single" w:sz="4" w:space="0" w:color="BFBFBF"/>
              <w:right w:val="nil"/>
            </w:tcBorders>
            <w:shd w:val="clear" w:color="000000" w:fill="F2F2F2"/>
            <w:vAlign w:val="center"/>
            <w:hideMark/>
          </w:tcPr>
          <w:p w14:paraId="7AB00B29"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r>
      <w:tr w:rsidR="00A47E2B" w:rsidRPr="00A47E2B" w14:paraId="3541C582" w14:textId="77777777" w:rsidTr="00A47E2B">
        <w:trPr>
          <w:trHeight w:val="528"/>
        </w:trPr>
        <w:tc>
          <w:tcPr>
            <w:tcW w:w="3060" w:type="dxa"/>
            <w:tcBorders>
              <w:top w:val="nil"/>
              <w:left w:val="nil"/>
              <w:bottom w:val="single" w:sz="4" w:space="0" w:color="BFBFBF"/>
              <w:right w:val="nil"/>
            </w:tcBorders>
            <w:shd w:val="clear" w:color="000000" w:fill="FFFFFF"/>
            <w:vAlign w:val="center"/>
            <w:hideMark/>
          </w:tcPr>
          <w:p w14:paraId="487634DD" w14:textId="77777777" w:rsidR="00A47E2B" w:rsidRPr="00A47E2B" w:rsidRDefault="00A47E2B" w:rsidP="00A47E2B">
            <w:pPr>
              <w:spacing w:after="0" w:line="240" w:lineRule="auto"/>
              <w:rPr>
                <w:rFonts w:ascii="Calibri" w:eastAsia="Times New Roman" w:hAnsi="Calibri" w:cs="Calibri"/>
                <w:color w:val="000000"/>
                <w:sz w:val="20"/>
                <w:szCs w:val="20"/>
                <w:lang w:eastAsia="pt-BR"/>
              </w:rPr>
            </w:pPr>
            <w:r w:rsidRPr="00A47E2B">
              <w:rPr>
                <w:rFonts w:ascii="Calibri" w:eastAsia="Times New Roman" w:hAnsi="Calibri" w:cs="Calibri"/>
                <w:color w:val="000000"/>
                <w:sz w:val="20"/>
                <w:szCs w:val="20"/>
                <w:lang w:eastAsia="pt-BR"/>
              </w:rPr>
              <w:t>Sem Função</w:t>
            </w:r>
          </w:p>
        </w:tc>
        <w:tc>
          <w:tcPr>
            <w:tcW w:w="1160" w:type="dxa"/>
            <w:tcBorders>
              <w:top w:val="nil"/>
              <w:left w:val="single" w:sz="4" w:space="0" w:color="BFBFBF"/>
              <w:bottom w:val="single" w:sz="4" w:space="0" w:color="BFBFBF"/>
              <w:right w:val="single" w:sz="4" w:space="0" w:color="BFBFBF"/>
            </w:tcBorders>
            <w:shd w:val="clear" w:color="auto" w:fill="auto"/>
            <w:vAlign w:val="center"/>
            <w:hideMark/>
          </w:tcPr>
          <w:p w14:paraId="79D6EEE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0,75</w:t>
            </w:r>
          </w:p>
        </w:tc>
        <w:tc>
          <w:tcPr>
            <w:tcW w:w="1240" w:type="dxa"/>
            <w:tcBorders>
              <w:top w:val="nil"/>
              <w:left w:val="nil"/>
              <w:bottom w:val="single" w:sz="4" w:space="0" w:color="BFBFBF"/>
              <w:right w:val="single" w:sz="4" w:space="0" w:color="BFBFBF"/>
            </w:tcBorders>
            <w:shd w:val="clear" w:color="auto" w:fill="auto"/>
            <w:vAlign w:val="center"/>
            <w:hideMark/>
          </w:tcPr>
          <w:p w14:paraId="459908D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1,05</w:t>
            </w:r>
          </w:p>
        </w:tc>
        <w:tc>
          <w:tcPr>
            <w:tcW w:w="1300" w:type="dxa"/>
            <w:tcBorders>
              <w:top w:val="nil"/>
              <w:left w:val="nil"/>
              <w:bottom w:val="single" w:sz="4" w:space="0" w:color="BFBFBF"/>
              <w:right w:val="single" w:sz="4" w:space="0" w:color="BFBFBF"/>
            </w:tcBorders>
            <w:shd w:val="clear" w:color="auto" w:fill="auto"/>
            <w:vAlign w:val="center"/>
            <w:hideMark/>
          </w:tcPr>
          <w:p w14:paraId="1AF4D4A2"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1,275</w:t>
            </w:r>
          </w:p>
        </w:tc>
        <w:tc>
          <w:tcPr>
            <w:tcW w:w="960" w:type="dxa"/>
            <w:tcBorders>
              <w:top w:val="nil"/>
              <w:left w:val="nil"/>
              <w:bottom w:val="single" w:sz="4" w:space="0" w:color="BFBFBF"/>
              <w:right w:val="single" w:sz="4" w:space="0" w:color="BFBFBF"/>
            </w:tcBorders>
            <w:shd w:val="clear" w:color="000000" w:fill="D9E1F2"/>
            <w:vAlign w:val="center"/>
            <w:hideMark/>
          </w:tcPr>
          <w:p w14:paraId="3D8E0AFE"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1,5</w:t>
            </w:r>
          </w:p>
        </w:tc>
        <w:tc>
          <w:tcPr>
            <w:tcW w:w="1320" w:type="dxa"/>
            <w:tcBorders>
              <w:top w:val="nil"/>
              <w:left w:val="nil"/>
              <w:bottom w:val="single" w:sz="4" w:space="0" w:color="BFBFBF"/>
              <w:right w:val="single" w:sz="4" w:space="0" w:color="BFBFBF"/>
            </w:tcBorders>
            <w:shd w:val="clear" w:color="auto" w:fill="auto"/>
            <w:vAlign w:val="center"/>
            <w:hideMark/>
          </w:tcPr>
          <w:p w14:paraId="0D487856"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1,875</w:t>
            </w:r>
          </w:p>
        </w:tc>
        <w:tc>
          <w:tcPr>
            <w:tcW w:w="1400" w:type="dxa"/>
            <w:tcBorders>
              <w:top w:val="nil"/>
              <w:left w:val="nil"/>
              <w:bottom w:val="single" w:sz="4" w:space="0" w:color="BFBFBF"/>
              <w:right w:val="nil"/>
            </w:tcBorders>
            <w:shd w:val="clear" w:color="auto" w:fill="auto"/>
            <w:vAlign w:val="center"/>
            <w:hideMark/>
          </w:tcPr>
          <w:p w14:paraId="303D285A" w14:textId="77777777" w:rsidR="00A47E2B" w:rsidRPr="00A47E2B" w:rsidRDefault="00A47E2B" w:rsidP="00A47E2B">
            <w:pPr>
              <w:spacing w:after="0" w:line="240" w:lineRule="auto"/>
              <w:jc w:val="center"/>
              <w:rPr>
                <w:rFonts w:ascii="Calibri" w:eastAsia="Times New Roman" w:hAnsi="Calibri" w:cs="Calibri"/>
                <w:color w:val="000000"/>
                <w:sz w:val="16"/>
                <w:szCs w:val="16"/>
                <w:lang w:eastAsia="pt-BR"/>
              </w:rPr>
            </w:pPr>
            <w:r w:rsidRPr="00A47E2B">
              <w:rPr>
                <w:rFonts w:ascii="Calibri" w:eastAsia="Times New Roman" w:hAnsi="Calibri" w:cs="Calibri"/>
                <w:color w:val="000000"/>
                <w:sz w:val="16"/>
                <w:szCs w:val="16"/>
                <w:lang w:eastAsia="pt-BR"/>
              </w:rPr>
              <w:t>2,25</w:t>
            </w:r>
          </w:p>
        </w:tc>
      </w:tr>
    </w:tbl>
    <w:p w14:paraId="1565C9E1" w14:textId="7CFE6978" w:rsidR="00A47E2B" w:rsidRDefault="00A47E2B" w:rsidP="00AE449A">
      <w:pPr>
        <w:pStyle w:val="Recuodecorpodetexto"/>
        <w:ind w:firstLine="0"/>
        <w:rPr>
          <w:rFonts w:ascii="Segoe UI" w:hAnsi="Segoe UI" w:cs="Segoe UI"/>
          <w:color w:val="000000" w:themeColor="text1"/>
          <w:sz w:val="20"/>
        </w:rPr>
      </w:pPr>
    </w:p>
    <w:p w14:paraId="47210B4B" w14:textId="45143017" w:rsidR="00A47E2B" w:rsidRPr="008345BD" w:rsidRDefault="00B844A7" w:rsidP="00AE449A">
      <w:pPr>
        <w:pStyle w:val="Recuodecorpodetexto"/>
        <w:ind w:firstLine="0"/>
        <w:rPr>
          <w:rFonts w:ascii="Segoe UI" w:hAnsi="Segoe UI" w:cs="Segoe UI"/>
          <w:color w:val="000000" w:themeColor="text1"/>
          <w:sz w:val="20"/>
        </w:rPr>
      </w:pPr>
      <w:r>
        <w:rPr>
          <w:rFonts w:ascii="Segoe UI" w:hAnsi="Segoe UI" w:cs="Segoe UI"/>
          <w:color w:val="000000" w:themeColor="text1"/>
          <w:sz w:val="20"/>
        </w:rPr>
        <w:t xml:space="preserve"> </w:t>
      </w:r>
      <w:r w:rsidR="00741834">
        <w:rPr>
          <w:rFonts w:ascii="Segoe UI" w:hAnsi="Segoe UI" w:cs="Segoe UI"/>
          <w:color w:val="000000" w:themeColor="text1"/>
          <w:sz w:val="20"/>
        </w:rPr>
        <w:t xml:space="preserve"> </w:t>
      </w:r>
    </w:p>
    <w:sectPr w:rsidR="00A47E2B" w:rsidRPr="008345BD" w:rsidSect="000C306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372CF" w14:textId="77777777" w:rsidR="00293CD1" w:rsidRDefault="00293CD1" w:rsidP="00AE449A">
      <w:pPr>
        <w:spacing w:after="0" w:line="240" w:lineRule="auto"/>
      </w:pPr>
      <w:r>
        <w:separator/>
      </w:r>
    </w:p>
  </w:endnote>
  <w:endnote w:type="continuationSeparator" w:id="0">
    <w:p w14:paraId="56017C3C" w14:textId="77777777" w:rsidR="00293CD1" w:rsidRDefault="00293CD1" w:rsidP="00AE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295750"/>
      <w:docPartObj>
        <w:docPartGallery w:val="Page Numbers (Bottom of Page)"/>
        <w:docPartUnique/>
      </w:docPartObj>
    </w:sdtPr>
    <w:sdtEndPr/>
    <w:sdtContent>
      <w:sdt>
        <w:sdtPr>
          <w:id w:val="1728636285"/>
          <w:docPartObj>
            <w:docPartGallery w:val="Page Numbers (Top of Page)"/>
            <w:docPartUnique/>
          </w:docPartObj>
        </w:sdtPr>
        <w:sdtEndPr/>
        <w:sdtContent>
          <w:p w14:paraId="51701B78" w14:textId="26838D4A" w:rsidR="00D663D2" w:rsidRDefault="00D663D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8345BD">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345BD">
              <w:rPr>
                <w:b/>
                <w:bCs/>
                <w:noProof/>
              </w:rPr>
              <w:t>19</w:t>
            </w:r>
            <w:r>
              <w:rPr>
                <w:b/>
                <w:bCs/>
                <w:sz w:val="24"/>
                <w:szCs w:val="24"/>
              </w:rPr>
              <w:fldChar w:fldCharType="end"/>
            </w:r>
          </w:p>
        </w:sdtContent>
      </w:sdt>
    </w:sdtContent>
  </w:sdt>
  <w:p w14:paraId="4B50AD3D" w14:textId="77777777" w:rsidR="00D663D2" w:rsidRDefault="00D663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E0E5" w14:textId="77777777" w:rsidR="00293CD1" w:rsidRDefault="00293CD1" w:rsidP="00AE449A">
      <w:pPr>
        <w:spacing w:after="0" w:line="240" w:lineRule="auto"/>
      </w:pPr>
      <w:r>
        <w:separator/>
      </w:r>
    </w:p>
  </w:footnote>
  <w:footnote w:type="continuationSeparator" w:id="0">
    <w:p w14:paraId="124AC4EE" w14:textId="77777777" w:rsidR="00293CD1" w:rsidRDefault="00293CD1" w:rsidP="00AE449A">
      <w:pPr>
        <w:spacing w:after="0" w:line="240" w:lineRule="auto"/>
      </w:pPr>
      <w:r>
        <w:continuationSeparator/>
      </w:r>
    </w:p>
  </w:footnote>
  <w:footnote w:id="1">
    <w:p w14:paraId="77BD2604" w14:textId="77777777" w:rsidR="00A55D20" w:rsidRPr="007A00E2" w:rsidRDefault="00A55D20" w:rsidP="00A55D20">
      <w:pPr>
        <w:pStyle w:val="Textodenotaderodap"/>
        <w:ind w:left="142" w:hanging="142"/>
        <w:jc w:val="both"/>
        <w:rPr>
          <w:rFonts w:ascii="Segoe UI" w:hAnsi="Segoe UI" w:cs="Segoe UI"/>
          <w:i/>
          <w:iCs/>
          <w:sz w:val="16"/>
          <w:szCs w:val="16"/>
        </w:rPr>
      </w:pPr>
      <w:r w:rsidRPr="007A00E2">
        <w:rPr>
          <w:rStyle w:val="Refdenotaderodap"/>
          <w:rFonts w:ascii="Segoe UI" w:hAnsi="Segoe UI" w:cs="Segoe UI"/>
          <w:i/>
          <w:iCs/>
          <w:sz w:val="16"/>
          <w:szCs w:val="16"/>
        </w:rPr>
        <w:footnoteRef/>
      </w:r>
      <w:r w:rsidRPr="007A00E2">
        <w:rPr>
          <w:rFonts w:ascii="Segoe UI" w:hAnsi="Segoe UI" w:cs="Segoe UI"/>
          <w:i/>
          <w:iCs/>
          <w:sz w:val="16"/>
          <w:szCs w:val="16"/>
        </w:rPr>
        <w:t xml:space="preserve"> </w:t>
      </w:r>
      <w:r w:rsidRPr="007A00E2">
        <w:rPr>
          <w:rFonts w:ascii="Segoe UI" w:hAnsi="Segoe UI" w:cs="Segoe UI"/>
          <w:i/>
          <w:iCs/>
          <w:sz w:val="16"/>
          <w:szCs w:val="16"/>
        </w:rPr>
        <w:tab/>
      </w:r>
      <w:bookmarkStart w:id="5" w:name="_Hlk183607430"/>
      <w:r w:rsidRPr="007A00E2">
        <w:rPr>
          <w:rFonts w:ascii="Segoe UI" w:hAnsi="Segoe UI" w:cs="Segoe UI"/>
          <w:i/>
          <w:iCs/>
          <w:sz w:val="16"/>
          <w:szCs w:val="16"/>
        </w:rPr>
        <w:t xml:space="preserve">Art. 4º A remuneração dos administradores das áreas de controle interno e de gestão de riscos, dos responsáveis pelas atividades relacionadas à função de conformidade e dos membros da equipe de auditoria interna deve ser: I - adequada para atrair profissionais qualificados e experientes; e II - determinada independentemente do desempenho das áreas de negócios, de forma a não gerar conflitos de interesse. Parágrafo único.  </w:t>
      </w:r>
      <w:bookmarkEnd w:id="5"/>
      <w:r w:rsidRPr="007A00E2">
        <w:rPr>
          <w:rFonts w:ascii="Segoe UI" w:hAnsi="Segoe UI" w:cs="Segoe UI"/>
          <w:i/>
          <w:iCs/>
          <w:sz w:val="16"/>
          <w:szCs w:val="16"/>
        </w:rPr>
        <w:t>As medidas do desempenho dos administradores das áreas de controle interno e de gestão de riscos, dos responsáveis pelas atividades relacionadas à função de conformidade e dos membros da equipe de auditoria interna devem ser baseadas na realização dos objetivos de suas próprias funções e não no desempenho das unidades por eles controladas ou avaliadas.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306E62"/>
    <w:multiLevelType w:val="hybridMultilevel"/>
    <w:tmpl w:val="C04286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E9BF67"/>
    <w:multiLevelType w:val="hybridMultilevel"/>
    <w:tmpl w:val="E8B365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B10FFE"/>
    <w:multiLevelType w:val="hybridMultilevel"/>
    <w:tmpl w:val="287598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B84843"/>
    <w:multiLevelType w:val="hybridMultilevel"/>
    <w:tmpl w:val="DDA23960"/>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19CC5254"/>
    <w:multiLevelType w:val="hybridMultilevel"/>
    <w:tmpl w:val="CA7813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113F28"/>
    <w:multiLevelType w:val="hybridMultilevel"/>
    <w:tmpl w:val="242E4B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950A09"/>
    <w:multiLevelType w:val="hybridMultilevel"/>
    <w:tmpl w:val="7744FB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537B3B"/>
    <w:multiLevelType w:val="hybridMultilevel"/>
    <w:tmpl w:val="DD20C86C"/>
    <w:lvl w:ilvl="0" w:tplc="E9841DB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0DAE1FB"/>
    <w:multiLevelType w:val="hybridMultilevel"/>
    <w:tmpl w:val="105FA4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15318D"/>
    <w:multiLevelType w:val="hybridMultilevel"/>
    <w:tmpl w:val="FC7848EC"/>
    <w:lvl w:ilvl="0" w:tplc="7A22EBEE">
      <w:start w:val="1"/>
      <w:numFmt w:val="bullet"/>
      <w:lvlText w:val=""/>
      <w:lvlJc w:val="right"/>
      <w:pPr>
        <w:ind w:left="720" w:hanging="360"/>
      </w:pPr>
      <w:rPr>
        <w:rFonts w:ascii="Symbol" w:hAnsi="Symbol" w:hint="default"/>
        <w:strike w:val="0"/>
        <w:color w:val="936FF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91E71A0"/>
    <w:multiLevelType w:val="hybridMultilevel"/>
    <w:tmpl w:val="AFC45F08"/>
    <w:lvl w:ilvl="0" w:tplc="7A22EBEE">
      <w:start w:val="1"/>
      <w:numFmt w:val="bullet"/>
      <w:lvlText w:val=""/>
      <w:lvlJc w:val="right"/>
      <w:pPr>
        <w:ind w:left="720" w:hanging="360"/>
      </w:pPr>
      <w:rPr>
        <w:rFonts w:ascii="Symbol" w:hAnsi="Symbol" w:hint="default"/>
        <w:strike w:val="0"/>
        <w:color w:val="936FF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FAE7D55"/>
    <w:multiLevelType w:val="hybridMultilevel"/>
    <w:tmpl w:val="7744FB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95385263">
    <w:abstractNumId w:val="3"/>
  </w:num>
  <w:num w:numId="2" w16cid:durableId="1224560079">
    <w:abstractNumId w:val="11"/>
  </w:num>
  <w:num w:numId="3" w16cid:durableId="2111076374">
    <w:abstractNumId w:val="0"/>
  </w:num>
  <w:num w:numId="4" w16cid:durableId="1012681224">
    <w:abstractNumId w:val="6"/>
  </w:num>
  <w:num w:numId="5" w16cid:durableId="2078283242">
    <w:abstractNumId w:val="7"/>
  </w:num>
  <w:num w:numId="6" w16cid:durableId="112409046">
    <w:abstractNumId w:val="2"/>
  </w:num>
  <w:num w:numId="7" w16cid:durableId="1794667744">
    <w:abstractNumId w:val="8"/>
  </w:num>
  <w:num w:numId="8" w16cid:durableId="2059695984">
    <w:abstractNumId w:val="1"/>
  </w:num>
  <w:num w:numId="9" w16cid:durableId="308095996">
    <w:abstractNumId w:val="10"/>
  </w:num>
  <w:num w:numId="10" w16cid:durableId="905340278">
    <w:abstractNumId w:val="9"/>
  </w:num>
  <w:num w:numId="11" w16cid:durableId="293994515">
    <w:abstractNumId w:val="5"/>
  </w:num>
  <w:num w:numId="12" w16cid:durableId="35737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3F"/>
    <w:rsid w:val="00005CD6"/>
    <w:rsid w:val="00011243"/>
    <w:rsid w:val="000241F3"/>
    <w:rsid w:val="0002425B"/>
    <w:rsid w:val="000416A5"/>
    <w:rsid w:val="00043F59"/>
    <w:rsid w:val="0004471F"/>
    <w:rsid w:val="00061279"/>
    <w:rsid w:val="000855C9"/>
    <w:rsid w:val="00085F62"/>
    <w:rsid w:val="00094F66"/>
    <w:rsid w:val="00096FAA"/>
    <w:rsid w:val="000A2305"/>
    <w:rsid w:val="000B0D9E"/>
    <w:rsid w:val="000B22BA"/>
    <w:rsid w:val="000B30DF"/>
    <w:rsid w:val="000C079B"/>
    <w:rsid w:val="000C3069"/>
    <w:rsid w:val="000F0542"/>
    <w:rsid w:val="000F1755"/>
    <w:rsid w:val="000F1DE9"/>
    <w:rsid w:val="0010090F"/>
    <w:rsid w:val="001149B4"/>
    <w:rsid w:val="00115161"/>
    <w:rsid w:val="00116BB4"/>
    <w:rsid w:val="001222C0"/>
    <w:rsid w:val="00130DAB"/>
    <w:rsid w:val="00131BFC"/>
    <w:rsid w:val="00154D44"/>
    <w:rsid w:val="00165A9D"/>
    <w:rsid w:val="00171451"/>
    <w:rsid w:val="00175518"/>
    <w:rsid w:val="0017615F"/>
    <w:rsid w:val="00182387"/>
    <w:rsid w:val="00184072"/>
    <w:rsid w:val="001A64A9"/>
    <w:rsid w:val="001B0A88"/>
    <w:rsid w:val="001D7D5E"/>
    <w:rsid w:val="001E3A6D"/>
    <w:rsid w:val="001E64FD"/>
    <w:rsid w:val="001F1BAC"/>
    <w:rsid w:val="00202CE4"/>
    <w:rsid w:val="00213D3A"/>
    <w:rsid w:val="00220E1B"/>
    <w:rsid w:val="00226F1F"/>
    <w:rsid w:val="002303A5"/>
    <w:rsid w:val="0023364F"/>
    <w:rsid w:val="002367C2"/>
    <w:rsid w:val="00240E8B"/>
    <w:rsid w:val="002441F8"/>
    <w:rsid w:val="00267614"/>
    <w:rsid w:val="00277FE1"/>
    <w:rsid w:val="002812EB"/>
    <w:rsid w:val="00281B23"/>
    <w:rsid w:val="00285268"/>
    <w:rsid w:val="00286DEC"/>
    <w:rsid w:val="002876FF"/>
    <w:rsid w:val="00293CD1"/>
    <w:rsid w:val="00294B57"/>
    <w:rsid w:val="00297AE6"/>
    <w:rsid w:val="002A41BB"/>
    <w:rsid w:val="002A49CB"/>
    <w:rsid w:val="002B45C0"/>
    <w:rsid w:val="002B6A4B"/>
    <w:rsid w:val="002C0830"/>
    <w:rsid w:val="002D7D58"/>
    <w:rsid w:val="002F63AE"/>
    <w:rsid w:val="00311A5C"/>
    <w:rsid w:val="00316710"/>
    <w:rsid w:val="0033229D"/>
    <w:rsid w:val="003350C7"/>
    <w:rsid w:val="00342430"/>
    <w:rsid w:val="003623CF"/>
    <w:rsid w:val="0037522F"/>
    <w:rsid w:val="00382B47"/>
    <w:rsid w:val="003B57E4"/>
    <w:rsid w:val="003C1C71"/>
    <w:rsid w:val="003C58FF"/>
    <w:rsid w:val="003C5B05"/>
    <w:rsid w:val="003E09AD"/>
    <w:rsid w:val="003E596A"/>
    <w:rsid w:val="003E636F"/>
    <w:rsid w:val="003F6E6A"/>
    <w:rsid w:val="00403157"/>
    <w:rsid w:val="00403927"/>
    <w:rsid w:val="00406E55"/>
    <w:rsid w:val="00411B1E"/>
    <w:rsid w:val="00412019"/>
    <w:rsid w:val="00437123"/>
    <w:rsid w:val="00456D1F"/>
    <w:rsid w:val="00462FC9"/>
    <w:rsid w:val="0047244D"/>
    <w:rsid w:val="00474CA9"/>
    <w:rsid w:val="0047714D"/>
    <w:rsid w:val="004843B0"/>
    <w:rsid w:val="00491A70"/>
    <w:rsid w:val="004954AE"/>
    <w:rsid w:val="004A1AA0"/>
    <w:rsid w:val="004A6444"/>
    <w:rsid w:val="004B61AC"/>
    <w:rsid w:val="004B673E"/>
    <w:rsid w:val="004C26A9"/>
    <w:rsid w:val="004C4168"/>
    <w:rsid w:val="004D2C7D"/>
    <w:rsid w:val="004E4E06"/>
    <w:rsid w:val="004F0243"/>
    <w:rsid w:val="0050505F"/>
    <w:rsid w:val="00526F08"/>
    <w:rsid w:val="00537A6D"/>
    <w:rsid w:val="00556A2F"/>
    <w:rsid w:val="00582F2E"/>
    <w:rsid w:val="00590F15"/>
    <w:rsid w:val="005A39E4"/>
    <w:rsid w:val="005B7652"/>
    <w:rsid w:val="005D6C85"/>
    <w:rsid w:val="005F4A8E"/>
    <w:rsid w:val="00610CD3"/>
    <w:rsid w:val="00630ADD"/>
    <w:rsid w:val="00640612"/>
    <w:rsid w:val="0066780C"/>
    <w:rsid w:val="006856F1"/>
    <w:rsid w:val="00694096"/>
    <w:rsid w:val="006A10B4"/>
    <w:rsid w:val="006A5099"/>
    <w:rsid w:val="006A6F4D"/>
    <w:rsid w:val="006B76E2"/>
    <w:rsid w:val="006C0938"/>
    <w:rsid w:val="006C30CD"/>
    <w:rsid w:val="0070489A"/>
    <w:rsid w:val="007062A8"/>
    <w:rsid w:val="00721CDC"/>
    <w:rsid w:val="007361FB"/>
    <w:rsid w:val="00741834"/>
    <w:rsid w:val="0074488D"/>
    <w:rsid w:val="0074658D"/>
    <w:rsid w:val="0075741F"/>
    <w:rsid w:val="0076182B"/>
    <w:rsid w:val="00764B3D"/>
    <w:rsid w:val="00770B95"/>
    <w:rsid w:val="00787A8D"/>
    <w:rsid w:val="00791955"/>
    <w:rsid w:val="007A00E2"/>
    <w:rsid w:val="007A73A9"/>
    <w:rsid w:val="007C1D2C"/>
    <w:rsid w:val="007C437D"/>
    <w:rsid w:val="007D0372"/>
    <w:rsid w:val="007D0768"/>
    <w:rsid w:val="007E20FE"/>
    <w:rsid w:val="007E7382"/>
    <w:rsid w:val="00806A67"/>
    <w:rsid w:val="00807B81"/>
    <w:rsid w:val="008345BD"/>
    <w:rsid w:val="008375AD"/>
    <w:rsid w:val="008451D2"/>
    <w:rsid w:val="00860B20"/>
    <w:rsid w:val="008979EE"/>
    <w:rsid w:val="008A17D1"/>
    <w:rsid w:val="008B1D40"/>
    <w:rsid w:val="008B3E06"/>
    <w:rsid w:val="008C07F3"/>
    <w:rsid w:val="008D5449"/>
    <w:rsid w:val="00901A6D"/>
    <w:rsid w:val="009133B1"/>
    <w:rsid w:val="00981B9E"/>
    <w:rsid w:val="00987117"/>
    <w:rsid w:val="009B3D21"/>
    <w:rsid w:val="009B786D"/>
    <w:rsid w:val="009C60E7"/>
    <w:rsid w:val="009C7F0C"/>
    <w:rsid w:val="009D6D92"/>
    <w:rsid w:val="009D7796"/>
    <w:rsid w:val="009E02AF"/>
    <w:rsid w:val="009F405C"/>
    <w:rsid w:val="009F5FE7"/>
    <w:rsid w:val="00A01F44"/>
    <w:rsid w:val="00A25134"/>
    <w:rsid w:val="00A25A12"/>
    <w:rsid w:val="00A4140A"/>
    <w:rsid w:val="00A47E2B"/>
    <w:rsid w:val="00A55D20"/>
    <w:rsid w:val="00A61A19"/>
    <w:rsid w:val="00A63629"/>
    <w:rsid w:val="00A72AE2"/>
    <w:rsid w:val="00A749B8"/>
    <w:rsid w:val="00A84BE7"/>
    <w:rsid w:val="00A91060"/>
    <w:rsid w:val="00A9450F"/>
    <w:rsid w:val="00AA0714"/>
    <w:rsid w:val="00AA69E3"/>
    <w:rsid w:val="00AA7015"/>
    <w:rsid w:val="00AD2269"/>
    <w:rsid w:val="00AD6346"/>
    <w:rsid w:val="00AE449A"/>
    <w:rsid w:val="00AF1885"/>
    <w:rsid w:val="00AF5AB1"/>
    <w:rsid w:val="00B31766"/>
    <w:rsid w:val="00B3452E"/>
    <w:rsid w:val="00B43C98"/>
    <w:rsid w:val="00B6316D"/>
    <w:rsid w:val="00B65E7A"/>
    <w:rsid w:val="00B81457"/>
    <w:rsid w:val="00B844A7"/>
    <w:rsid w:val="00B9394C"/>
    <w:rsid w:val="00BA12E4"/>
    <w:rsid w:val="00BC699F"/>
    <w:rsid w:val="00BD67D0"/>
    <w:rsid w:val="00C00CAA"/>
    <w:rsid w:val="00C03A6A"/>
    <w:rsid w:val="00C048A2"/>
    <w:rsid w:val="00C07BBF"/>
    <w:rsid w:val="00C109EB"/>
    <w:rsid w:val="00C114C7"/>
    <w:rsid w:val="00C22669"/>
    <w:rsid w:val="00C45465"/>
    <w:rsid w:val="00C510C4"/>
    <w:rsid w:val="00C7095C"/>
    <w:rsid w:val="00CA0752"/>
    <w:rsid w:val="00CA106B"/>
    <w:rsid w:val="00CA3E94"/>
    <w:rsid w:val="00CB097C"/>
    <w:rsid w:val="00CB117B"/>
    <w:rsid w:val="00CB14F4"/>
    <w:rsid w:val="00CB14FF"/>
    <w:rsid w:val="00CB6D86"/>
    <w:rsid w:val="00CC015D"/>
    <w:rsid w:val="00CC523B"/>
    <w:rsid w:val="00CD76ED"/>
    <w:rsid w:val="00CF733D"/>
    <w:rsid w:val="00D11C4B"/>
    <w:rsid w:val="00D2076D"/>
    <w:rsid w:val="00D266A8"/>
    <w:rsid w:val="00D37D5C"/>
    <w:rsid w:val="00D450D2"/>
    <w:rsid w:val="00D4660C"/>
    <w:rsid w:val="00D47337"/>
    <w:rsid w:val="00D52FBD"/>
    <w:rsid w:val="00D53666"/>
    <w:rsid w:val="00D612DB"/>
    <w:rsid w:val="00D61EC2"/>
    <w:rsid w:val="00D663D2"/>
    <w:rsid w:val="00D74347"/>
    <w:rsid w:val="00D745B9"/>
    <w:rsid w:val="00D820FB"/>
    <w:rsid w:val="00D84E41"/>
    <w:rsid w:val="00D84F3E"/>
    <w:rsid w:val="00D856EA"/>
    <w:rsid w:val="00D92FD5"/>
    <w:rsid w:val="00DA46EF"/>
    <w:rsid w:val="00DB0986"/>
    <w:rsid w:val="00DB18C0"/>
    <w:rsid w:val="00DB4B2C"/>
    <w:rsid w:val="00DE6141"/>
    <w:rsid w:val="00DF12ED"/>
    <w:rsid w:val="00DF483E"/>
    <w:rsid w:val="00E17FB0"/>
    <w:rsid w:val="00E249CF"/>
    <w:rsid w:val="00E264BD"/>
    <w:rsid w:val="00E264FE"/>
    <w:rsid w:val="00E30A10"/>
    <w:rsid w:val="00E3609C"/>
    <w:rsid w:val="00E4072A"/>
    <w:rsid w:val="00E47769"/>
    <w:rsid w:val="00E50DC1"/>
    <w:rsid w:val="00E56895"/>
    <w:rsid w:val="00E74106"/>
    <w:rsid w:val="00E77E98"/>
    <w:rsid w:val="00E92753"/>
    <w:rsid w:val="00E9289F"/>
    <w:rsid w:val="00E937A5"/>
    <w:rsid w:val="00EA1757"/>
    <w:rsid w:val="00EC4F78"/>
    <w:rsid w:val="00ED070F"/>
    <w:rsid w:val="00ED74F2"/>
    <w:rsid w:val="00EF201F"/>
    <w:rsid w:val="00EF3A5B"/>
    <w:rsid w:val="00F03810"/>
    <w:rsid w:val="00F100CE"/>
    <w:rsid w:val="00F251BD"/>
    <w:rsid w:val="00F40163"/>
    <w:rsid w:val="00F41D3F"/>
    <w:rsid w:val="00F4647E"/>
    <w:rsid w:val="00F4655C"/>
    <w:rsid w:val="00F60324"/>
    <w:rsid w:val="00F7503F"/>
    <w:rsid w:val="00F7592A"/>
    <w:rsid w:val="00F87C9A"/>
    <w:rsid w:val="00F97478"/>
    <w:rsid w:val="00F97D16"/>
    <w:rsid w:val="00FA0C3B"/>
    <w:rsid w:val="00FA7103"/>
    <w:rsid w:val="00FA783D"/>
    <w:rsid w:val="00FB7979"/>
    <w:rsid w:val="00FC2B12"/>
    <w:rsid w:val="00FE2B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F104"/>
  <w15:chartTrackingRefBased/>
  <w15:docId w15:val="{033FE773-81A5-4EE2-B5A0-2C72A328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F2"/>
  </w:style>
  <w:style w:type="paragraph" w:styleId="Ttulo1">
    <w:name w:val="heading 1"/>
    <w:basedOn w:val="Normal"/>
    <w:next w:val="Normal"/>
    <w:link w:val="Ttulo1Char"/>
    <w:uiPriority w:val="9"/>
    <w:qFormat/>
    <w:rsid w:val="00AE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EA17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har"/>
    <w:qFormat/>
    <w:rsid w:val="000F1755"/>
    <w:pPr>
      <w:keepNext/>
      <w:spacing w:after="0" w:line="240" w:lineRule="auto"/>
      <w:jc w:val="both"/>
      <w:outlineLvl w:val="4"/>
    </w:pPr>
    <w:rPr>
      <w:rFonts w:ascii="Arial" w:eastAsia="Times New Roman" w:hAnsi="Arial" w:cs="Arial"/>
      <w:bCs/>
      <w:sz w:val="24"/>
      <w:szCs w:val="20"/>
      <w:u w:val="single"/>
      <w:lang w:eastAsia="pt-BR"/>
    </w:rPr>
  </w:style>
  <w:style w:type="paragraph" w:styleId="Ttulo7">
    <w:name w:val="heading 7"/>
    <w:basedOn w:val="Normal"/>
    <w:next w:val="Normal"/>
    <w:link w:val="Ttulo7Char"/>
    <w:qFormat/>
    <w:rsid w:val="000F1755"/>
    <w:pPr>
      <w:keepNext/>
      <w:spacing w:after="0" w:line="240" w:lineRule="auto"/>
      <w:jc w:val="center"/>
      <w:outlineLvl w:val="6"/>
    </w:pPr>
    <w:rPr>
      <w:rFonts w:ascii="Arial" w:eastAsia="Times New Roman" w:hAnsi="Arial" w:cs="Arial"/>
      <w:i/>
      <w:sz w:val="24"/>
      <w:szCs w:val="20"/>
      <w:lang w:eastAsia="pt-BR"/>
    </w:rPr>
  </w:style>
  <w:style w:type="paragraph" w:styleId="Ttulo9">
    <w:name w:val="heading 9"/>
    <w:basedOn w:val="Normal"/>
    <w:next w:val="Normal"/>
    <w:link w:val="Ttulo9Char"/>
    <w:qFormat/>
    <w:rsid w:val="000F1755"/>
    <w:pPr>
      <w:keepNext/>
      <w:spacing w:after="0" w:line="240" w:lineRule="auto"/>
      <w:jc w:val="both"/>
      <w:outlineLvl w:val="8"/>
    </w:pPr>
    <w:rPr>
      <w:rFonts w:ascii="Arial" w:eastAsia="Times New Roman" w:hAnsi="Arial" w:cs="Arial"/>
      <w:color w:val="000000"/>
      <w:sz w:val="24"/>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uiPriority w:val="99"/>
    <w:rsid w:val="00F41D3F"/>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rsid w:val="000F1755"/>
    <w:rPr>
      <w:rFonts w:ascii="Arial" w:eastAsia="Times New Roman" w:hAnsi="Arial" w:cs="Arial"/>
      <w:bCs/>
      <w:sz w:val="24"/>
      <w:szCs w:val="20"/>
      <w:u w:val="single"/>
      <w:lang w:eastAsia="pt-BR"/>
    </w:rPr>
  </w:style>
  <w:style w:type="character" w:customStyle="1" w:styleId="Ttulo7Char">
    <w:name w:val="Título 7 Char"/>
    <w:basedOn w:val="Fontepargpadro"/>
    <w:link w:val="Ttulo7"/>
    <w:rsid w:val="000F1755"/>
    <w:rPr>
      <w:rFonts w:ascii="Arial" w:eastAsia="Times New Roman" w:hAnsi="Arial" w:cs="Arial"/>
      <w:i/>
      <w:sz w:val="24"/>
      <w:szCs w:val="20"/>
      <w:lang w:eastAsia="pt-BR"/>
    </w:rPr>
  </w:style>
  <w:style w:type="character" w:customStyle="1" w:styleId="Ttulo9Char">
    <w:name w:val="Título 9 Char"/>
    <w:basedOn w:val="Fontepargpadro"/>
    <w:link w:val="Ttulo9"/>
    <w:rsid w:val="000F1755"/>
    <w:rPr>
      <w:rFonts w:ascii="Arial" w:eastAsia="Times New Roman" w:hAnsi="Arial" w:cs="Arial"/>
      <w:color w:val="000000"/>
      <w:sz w:val="24"/>
      <w:szCs w:val="20"/>
      <w:u w:val="single"/>
      <w:lang w:eastAsia="pt-BR"/>
    </w:rPr>
  </w:style>
  <w:style w:type="paragraph" w:styleId="Recuodecorpodetexto">
    <w:name w:val="Body Text Indent"/>
    <w:basedOn w:val="Normal"/>
    <w:link w:val="RecuodecorpodetextoChar"/>
    <w:rsid w:val="000F1755"/>
    <w:pPr>
      <w:spacing w:after="0" w:line="240" w:lineRule="auto"/>
      <w:ind w:firstLine="708"/>
      <w:jc w:val="both"/>
    </w:pPr>
    <w:rPr>
      <w:rFonts w:ascii="Arial" w:eastAsia="Times New Roman" w:hAnsi="Arial" w:cs="Arial"/>
      <w:color w:val="FF0000"/>
      <w:sz w:val="24"/>
      <w:szCs w:val="20"/>
      <w:lang w:eastAsia="pt-BR"/>
    </w:rPr>
  </w:style>
  <w:style w:type="character" w:customStyle="1" w:styleId="RecuodecorpodetextoChar">
    <w:name w:val="Recuo de corpo de texto Char"/>
    <w:basedOn w:val="Fontepargpadro"/>
    <w:link w:val="Recuodecorpodetexto"/>
    <w:rsid w:val="000F1755"/>
    <w:rPr>
      <w:rFonts w:ascii="Arial" w:eastAsia="Times New Roman" w:hAnsi="Arial" w:cs="Arial"/>
      <w:color w:val="FF0000"/>
      <w:sz w:val="24"/>
      <w:szCs w:val="20"/>
      <w:lang w:eastAsia="pt-BR"/>
    </w:rPr>
  </w:style>
  <w:style w:type="paragraph" w:styleId="Corpodetexto">
    <w:name w:val="Body Text"/>
    <w:basedOn w:val="Normal"/>
    <w:link w:val="CorpodetextoChar"/>
    <w:rsid w:val="000F1755"/>
    <w:pPr>
      <w:spacing w:after="0" w:line="240" w:lineRule="auto"/>
      <w:jc w:val="both"/>
    </w:pPr>
    <w:rPr>
      <w:rFonts w:ascii="Arial" w:eastAsia="Times New Roman" w:hAnsi="Arial" w:cs="Arial"/>
      <w:sz w:val="24"/>
      <w:szCs w:val="20"/>
      <w:lang w:eastAsia="pt-BR"/>
    </w:rPr>
  </w:style>
  <w:style w:type="character" w:customStyle="1" w:styleId="CorpodetextoChar">
    <w:name w:val="Corpo de texto Char"/>
    <w:basedOn w:val="Fontepargpadro"/>
    <w:link w:val="Corpodetexto"/>
    <w:rsid w:val="000F1755"/>
    <w:rPr>
      <w:rFonts w:ascii="Arial" w:eastAsia="Times New Roman" w:hAnsi="Arial" w:cs="Arial"/>
      <w:sz w:val="24"/>
      <w:szCs w:val="20"/>
      <w:lang w:eastAsia="pt-BR"/>
    </w:rPr>
  </w:style>
  <w:style w:type="paragraph" w:styleId="Recuodecorpodetexto2">
    <w:name w:val="Body Text Indent 2"/>
    <w:basedOn w:val="Normal"/>
    <w:link w:val="Recuodecorpodetexto2Char"/>
    <w:rsid w:val="000F1755"/>
    <w:pPr>
      <w:spacing w:after="0" w:line="240" w:lineRule="auto"/>
      <w:ind w:firstLine="708"/>
      <w:jc w:val="both"/>
    </w:pPr>
    <w:rPr>
      <w:rFonts w:ascii="Arial" w:eastAsia="Times New Roman" w:hAnsi="Arial" w:cs="Arial"/>
      <w:sz w:val="24"/>
      <w:szCs w:val="20"/>
      <w:lang w:eastAsia="pt-BR"/>
    </w:rPr>
  </w:style>
  <w:style w:type="character" w:customStyle="1" w:styleId="Recuodecorpodetexto2Char">
    <w:name w:val="Recuo de corpo de texto 2 Char"/>
    <w:basedOn w:val="Fontepargpadro"/>
    <w:link w:val="Recuodecorpodetexto2"/>
    <w:rsid w:val="000F1755"/>
    <w:rPr>
      <w:rFonts w:ascii="Arial" w:eastAsia="Times New Roman" w:hAnsi="Arial" w:cs="Arial"/>
      <w:sz w:val="24"/>
      <w:szCs w:val="20"/>
      <w:lang w:eastAsia="pt-BR"/>
    </w:rPr>
  </w:style>
  <w:style w:type="paragraph" w:customStyle="1" w:styleId="BodyText32">
    <w:name w:val="Body Text 32"/>
    <w:basedOn w:val="Normal"/>
    <w:rsid w:val="000F1755"/>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pt-BR"/>
    </w:rPr>
  </w:style>
  <w:style w:type="paragraph" w:styleId="Corpodetexto3">
    <w:name w:val="Body Text 3"/>
    <w:basedOn w:val="Normal"/>
    <w:link w:val="Corpodetexto3Char"/>
    <w:rsid w:val="000F175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F1755"/>
    <w:rPr>
      <w:rFonts w:ascii="Times New Roman" w:eastAsia="Times New Roman" w:hAnsi="Times New Roman" w:cs="Times New Roman"/>
      <w:sz w:val="16"/>
      <w:szCs w:val="16"/>
      <w:lang w:eastAsia="pt-BR"/>
    </w:rPr>
  </w:style>
  <w:style w:type="paragraph" w:customStyle="1" w:styleId="TxBrc6">
    <w:name w:val="TxBr_c6"/>
    <w:basedOn w:val="Normal"/>
    <w:rsid w:val="000F1755"/>
    <w:pPr>
      <w:widowControl w:val="0"/>
      <w:autoSpaceDE w:val="0"/>
      <w:autoSpaceDN w:val="0"/>
      <w:spacing w:after="0" w:line="240" w:lineRule="atLeast"/>
      <w:jc w:val="center"/>
    </w:pPr>
    <w:rPr>
      <w:rFonts w:ascii="Times New Roman" w:eastAsia="Times New Roman" w:hAnsi="Times New Roman" w:cs="Times New Roman"/>
      <w:sz w:val="24"/>
      <w:szCs w:val="24"/>
      <w:lang w:val="en-US" w:eastAsia="pt-BR"/>
    </w:rPr>
  </w:style>
  <w:style w:type="paragraph" w:styleId="Textodecomentrio">
    <w:name w:val="annotation text"/>
    <w:basedOn w:val="Normal"/>
    <w:link w:val="TextodecomentrioChar"/>
    <w:uiPriority w:val="99"/>
    <w:semiHidden/>
    <w:unhideWhenUsed/>
    <w:rsid w:val="000F1755"/>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0F1755"/>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0F175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E449A"/>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AE44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449A"/>
  </w:style>
  <w:style w:type="paragraph" w:styleId="Rodap">
    <w:name w:val="footer"/>
    <w:basedOn w:val="Normal"/>
    <w:link w:val="RodapChar"/>
    <w:uiPriority w:val="99"/>
    <w:unhideWhenUsed/>
    <w:rsid w:val="00AE449A"/>
    <w:pPr>
      <w:tabs>
        <w:tab w:val="center" w:pos="4252"/>
        <w:tab w:val="right" w:pos="8504"/>
      </w:tabs>
      <w:spacing w:after="0" w:line="240" w:lineRule="auto"/>
    </w:pPr>
  </w:style>
  <w:style w:type="character" w:customStyle="1" w:styleId="RodapChar">
    <w:name w:val="Rodapé Char"/>
    <w:basedOn w:val="Fontepargpadro"/>
    <w:link w:val="Rodap"/>
    <w:uiPriority w:val="99"/>
    <w:rsid w:val="00AE449A"/>
  </w:style>
  <w:style w:type="character" w:styleId="Refdecomentrio">
    <w:name w:val="annotation reference"/>
    <w:basedOn w:val="Fontepargpadro"/>
    <w:uiPriority w:val="99"/>
    <w:semiHidden/>
    <w:unhideWhenUsed/>
    <w:rsid w:val="00311A5C"/>
    <w:rPr>
      <w:sz w:val="16"/>
      <w:szCs w:val="16"/>
    </w:rPr>
  </w:style>
  <w:style w:type="paragraph" w:styleId="Assuntodocomentrio">
    <w:name w:val="annotation subject"/>
    <w:basedOn w:val="Textodecomentrio"/>
    <w:next w:val="Textodecomentrio"/>
    <w:link w:val="AssuntodocomentrioChar"/>
    <w:uiPriority w:val="99"/>
    <w:semiHidden/>
    <w:unhideWhenUsed/>
    <w:rsid w:val="00311A5C"/>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311A5C"/>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311A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1A5C"/>
    <w:rPr>
      <w:rFonts w:ascii="Segoe UI" w:hAnsi="Segoe UI" w:cs="Segoe UI"/>
      <w:sz w:val="18"/>
      <w:szCs w:val="18"/>
    </w:rPr>
  </w:style>
  <w:style w:type="paragraph" w:styleId="PargrafodaLista">
    <w:name w:val="List Paragraph"/>
    <w:basedOn w:val="Normal"/>
    <w:uiPriority w:val="34"/>
    <w:qFormat/>
    <w:rsid w:val="00311A5C"/>
    <w:pPr>
      <w:ind w:left="720"/>
      <w:contextualSpacing/>
    </w:pPr>
  </w:style>
  <w:style w:type="character" w:styleId="Forte">
    <w:name w:val="Strong"/>
    <w:basedOn w:val="Fontepargpadro"/>
    <w:uiPriority w:val="22"/>
    <w:qFormat/>
    <w:rsid w:val="004843B0"/>
    <w:rPr>
      <w:b/>
      <w:bCs/>
    </w:rPr>
  </w:style>
  <w:style w:type="paragraph" w:styleId="Reviso">
    <w:name w:val="Revision"/>
    <w:hidden/>
    <w:uiPriority w:val="99"/>
    <w:semiHidden/>
    <w:rsid w:val="002B6A4B"/>
    <w:pPr>
      <w:spacing w:after="0" w:line="240" w:lineRule="auto"/>
    </w:pPr>
  </w:style>
  <w:style w:type="paragraph" w:customStyle="1" w:styleId="Default">
    <w:name w:val="Default"/>
    <w:rsid w:val="00FE2B79"/>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Fontepargpadro"/>
    <w:uiPriority w:val="99"/>
    <w:unhideWhenUsed/>
    <w:rsid w:val="000B22BA"/>
    <w:rPr>
      <w:color w:val="0563C1" w:themeColor="hyperlink"/>
      <w:u w:val="single"/>
    </w:rPr>
  </w:style>
  <w:style w:type="character" w:styleId="MenoPendente">
    <w:name w:val="Unresolved Mention"/>
    <w:basedOn w:val="Fontepargpadro"/>
    <w:uiPriority w:val="99"/>
    <w:semiHidden/>
    <w:unhideWhenUsed/>
    <w:rsid w:val="000B22BA"/>
    <w:rPr>
      <w:color w:val="605E5C"/>
      <w:shd w:val="clear" w:color="auto" w:fill="E1DFDD"/>
    </w:rPr>
  </w:style>
  <w:style w:type="table" w:styleId="SimplesTabela1">
    <w:name w:val="Plain Table 1"/>
    <w:basedOn w:val="Tabelanormal"/>
    <w:uiPriority w:val="41"/>
    <w:rsid w:val="00294B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4-nfase1">
    <w:name w:val="Grid Table 4 Accent 1"/>
    <w:basedOn w:val="Tabelanormal"/>
    <w:uiPriority w:val="49"/>
    <w:rsid w:val="00294B5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2Char">
    <w:name w:val="Título 2 Char"/>
    <w:basedOn w:val="Fontepargpadro"/>
    <w:link w:val="Ttulo2"/>
    <w:uiPriority w:val="9"/>
    <w:semiHidden/>
    <w:rsid w:val="00EA1757"/>
    <w:rPr>
      <w:rFonts w:asciiTheme="majorHAnsi" w:eastAsiaTheme="majorEastAsia" w:hAnsiTheme="majorHAnsi" w:cstheme="majorBidi"/>
      <w:color w:val="2F5496" w:themeColor="accent1" w:themeShade="BF"/>
      <w:sz w:val="26"/>
      <w:szCs w:val="26"/>
    </w:rPr>
  </w:style>
  <w:style w:type="paragraph" w:styleId="Textodenotaderodap">
    <w:name w:val="footnote text"/>
    <w:basedOn w:val="Normal"/>
    <w:link w:val="TextodenotaderodapChar"/>
    <w:uiPriority w:val="99"/>
    <w:semiHidden/>
    <w:unhideWhenUsed/>
    <w:rsid w:val="00A55D2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5D20"/>
    <w:rPr>
      <w:sz w:val="20"/>
      <w:szCs w:val="20"/>
    </w:rPr>
  </w:style>
  <w:style w:type="character" w:styleId="Refdenotaderodap">
    <w:name w:val="footnote reference"/>
    <w:basedOn w:val="Fontepargpadro"/>
    <w:uiPriority w:val="99"/>
    <w:semiHidden/>
    <w:unhideWhenUsed/>
    <w:rsid w:val="00A55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6218">
      <w:bodyDiv w:val="1"/>
      <w:marLeft w:val="0"/>
      <w:marRight w:val="0"/>
      <w:marTop w:val="0"/>
      <w:marBottom w:val="0"/>
      <w:divBdr>
        <w:top w:val="none" w:sz="0" w:space="0" w:color="auto"/>
        <w:left w:val="none" w:sz="0" w:space="0" w:color="auto"/>
        <w:bottom w:val="none" w:sz="0" w:space="0" w:color="auto"/>
        <w:right w:val="none" w:sz="0" w:space="0" w:color="auto"/>
      </w:divBdr>
    </w:div>
    <w:div w:id="66460562">
      <w:bodyDiv w:val="1"/>
      <w:marLeft w:val="0"/>
      <w:marRight w:val="0"/>
      <w:marTop w:val="0"/>
      <w:marBottom w:val="0"/>
      <w:divBdr>
        <w:top w:val="none" w:sz="0" w:space="0" w:color="auto"/>
        <w:left w:val="none" w:sz="0" w:space="0" w:color="auto"/>
        <w:bottom w:val="none" w:sz="0" w:space="0" w:color="auto"/>
        <w:right w:val="none" w:sz="0" w:space="0" w:color="auto"/>
      </w:divBdr>
    </w:div>
    <w:div w:id="74479343">
      <w:bodyDiv w:val="1"/>
      <w:marLeft w:val="0"/>
      <w:marRight w:val="0"/>
      <w:marTop w:val="0"/>
      <w:marBottom w:val="0"/>
      <w:divBdr>
        <w:top w:val="none" w:sz="0" w:space="0" w:color="auto"/>
        <w:left w:val="none" w:sz="0" w:space="0" w:color="auto"/>
        <w:bottom w:val="none" w:sz="0" w:space="0" w:color="auto"/>
        <w:right w:val="none" w:sz="0" w:space="0" w:color="auto"/>
      </w:divBdr>
    </w:div>
    <w:div w:id="108012290">
      <w:bodyDiv w:val="1"/>
      <w:marLeft w:val="0"/>
      <w:marRight w:val="0"/>
      <w:marTop w:val="0"/>
      <w:marBottom w:val="0"/>
      <w:divBdr>
        <w:top w:val="none" w:sz="0" w:space="0" w:color="auto"/>
        <w:left w:val="none" w:sz="0" w:space="0" w:color="auto"/>
        <w:bottom w:val="none" w:sz="0" w:space="0" w:color="auto"/>
        <w:right w:val="none" w:sz="0" w:space="0" w:color="auto"/>
      </w:divBdr>
    </w:div>
    <w:div w:id="127432186">
      <w:bodyDiv w:val="1"/>
      <w:marLeft w:val="0"/>
      <w:marRight w:val="0"/>
      <w:marTop w:val="0"/>
      <w:marBottom w:val="0"/>
      <w:divBdr>
        <w:top w:val="none" w:sz="0" w:space="0" w:color="auto"/>
        <w:left w:val="none" w:sz="0" w:space="0" w:color="auto"/>
        <w:bottom w:val="none" w:sz="0" w:space="0" w:color="auto"/>
        <w:right w:val="none" w:sz="0" w:space="0" w:color="auto"/>
      </w:divBdr>
    </w:div>
    <w:div w:id="201720677">
      <w:bodyDiv w:val="1"/>
      <w:marLeft w:val="0"/>
      <w:marRight w:val="0"/>
      <w:marTop w:val="0"/>
      <w:marBottom w:val="0"/>
      <w:divBdr>
        <w:top w:val="none" w:sz="0" w:space="0" w:color="auto"/>
        <w:left w:val="none" w:sz="0" w:space="0" w:color="auto"/>
        <w:bottom w:val="none" w:sz="0" w:space="0" w:color="auto"/>
        <w:right w:val="none" w:sz="0" w:space="0" w:color="auto"/>
      </w:divBdr>
    </w:div>
    <w:div w:id="276258673">
      <w:bodyDiv w:val="1"/>
      <w:marLeft w:val="0"/>
      <w:marRight w:val="0"/>
      <w:marTop w:val="0"/>
      <w:marBottom w:val="0"/>
      <w:divBdr>
        <w:top w:val="none" w:sz="0" w:space="0" w:color="auto"/>
        <w:left w:val="none" w:sz="0" w:space="0" w:color="auto"/>
        <w:bottom w:val="none" w:sz="0" w:space="0" w:color="auto"/>
        <w:right w:val="none" w:sz="0" w:space="0" w:color="auto"/>
      </w:divBdr>
    </w:div>
    <w:div w:id="285702171">
      <w:bodyDiv w:val="1"/>
      <w:marLeft w:val="0"/>
      <w:marRight w:val="0"/>
      <w:marTop w:val="0"/>
      <w:marBottom w:val="0"/>
      <w:divBdr>
        <w:top w:val="none" w:sz="0" w:space="0" w:color="auto"/>
        <w:left w:val="none" w:sz="0" w:space="0" w:color="auto"/>
        <w:bottom w:val="none" w:sz="0" w:space="0" w:color="auto"/>
        <w:right w:val="none" w:sz="0" w:space="0" w:color="auto"/>
      </w:divBdr>
    </w:div>
    <w:div w:id="294141459">
      <w:bodyDiv w:val="1"/>
      <w:marLeft w:val="0"/>
      <w:marRight w:val="0"/>
      <w:marTop w:val="0"/>
      <w:marBottom w:val="0"/>
      <w:divBdr>
        <w:top w:val="none" w:sz="0" w:space="0" w:color="auto"/>
        <w:left w:val="none" w:sz="0" w:space="0" w:color="auto"/>
        <w:bottom w:val="none" w:sz="0" w:space="0" w:color="auto"/>
        <w:right w:val="none" w:sz="0" w:space="0" w:color="auto"/>
      </w:divBdr>
    </w:div>
    <w:div w:id="325281276">
      <w:bodyDiv w:val="1"/>
      <w:marLeft w:val="0"/>
      <w:marRight w:val="0"/>
      <w:marTop w:val="0"/>
      <w:marBottom w:val="0"/>
      <w:divBdr>
        <w:top w:val="none" w:sz="0" w:space="0" w:color="auto"/>
        <w:left w:val="none" w:sz="0" w:space="0" w:color="auto"/>
        <w:bottom w:val="none" w:sz="0" w:space="0" w:color="auto"/>
        <w:right w:val="none" w:sz="0" w:space="0" w:color="auto"/>
      </w:divBdr>
    </w:div>
    <w:div w:id="471749916">
      <w:bodyDiv w:val="1"/>
      <w:marLeft w:val="0"/>
      <w:marRight w:val="0"/>
      <w:marTop w:val="0"/>
      <w:marBottom w:val="0"/>
      <w:divBdr>
        <w:top w:val="none" w:sz="0" w:space="0" w:color="auto"/>
        <w:left w:val="none" w:sz="0" w:space="0" w:color="auto"/>
        <w:bottom w:val="none" w:sz="0" w:space="0" w:color="auto"/>
        <w:right w:val="none" w:sz="0" w:space="0" w:color="auto"/>
      </w:divBdr>
    </w:div>
    <w:div w:id="542982606">
      <w:bodyDiv w:val="1"/>
      <w:marLeft w:val="0"/>
      <w:marRight w:val="0"/>
      <w:marTop w:val="0"/>
      <w:marBottom w:val="0"/>
      <w:divBdr>
        <w:top w:val="none" w:sz="0" w:space="0" w:color="auto"/>
        <w:left w:val="none" w:sz="0" w:space="0" w:color="auto"/>
        <w:bottom w:val="none" w:sz="0" w:space="0" w:color="auto"/>
        <w:right w:val="none" w:sz="0" w:space="0" w:color="auto"/>
      </w:divBdr>
    </w:div>
    <w:div w:id="593057062">
      <w:bodyDiv w:val="1"/>
      <w:marLeft w:val="0"/>
      <w:marRight w:val="0"/>
      <w:marTop w:val="0"/>
      <w:marBottom w:val="0"/>
      <w:divBdr>
        <w:top w:val="none" w:sz="0" w:space="0" w:color="auto"/>
        <w:left w:val="none" w:sz="0" w:space="0" w:color="auto"/>
        <w:bottom w:val="none" w:sz="0" w:space="0" w:color="auto"/>
        <w:right w:val="none" w:sz="0" w:space="0" w:color="auto"/>
      </w:divBdr>
    </w:div>
    <w:div w:id="695892398">
      <w:bodyDiv w:val="1"/>
      <w:marLeft w:val="0"/>
      <w:marRight w:val="0"/>
      <w:marTop w:val="0"/>
      <w:marBottom w:val="0"/>
      <w:divBdr>
        <w:top w:val="none" w:sz="0" w:space="0" w:color="auto"/>
        <w:left w:val="none" w:sz="0" w:space="0" w:color="auto"/>
        <w:bottom w:val="none" w:sz="0" w:space="0" w:color="auto"/>
        <w:right w:val="none" w:sz="0" w:space="0" w:color="auto"/>
      </w:divBdr>
    </w:div>
    <w:div w:id="796224092">
      <w:bodyDiv w:val="1"/>
      <w:marLeft w:val="0"/>
      <w:marRight w:val="0"/>
      <w:marTop w:val="0"/>
      <w:marBottom w:val="0"/>
      <w:divBdr>
        <w:top w:val="none" w:sz="0" w:space="0" w:color="auto"/>
        <w:left w:val="none" w:sz="0" w:space="0" w:color="auto"/>
        <w:bottom w:val="none" w:sz="0" w:space="0" w:color="auto"/>
        <w:right w:val="none" w:sz="0" w:space="0" w:color="auto"/>
      </w:divBdr>
    </w:div>
    <w:div w:id="866018437">
      <w:bodyDiv w:val="1"/>
      <w:marLeft w:val="0"/>
      <w:marRight w:val="0"/>
      <w:marTop w:val="0"/>
      <w:marBottom w:val="0"/>
      <w:divBdr>
        <w:top w:val="none" w:sz="0" w:space="0" w:color="auto"/>
        <w:left w:val="none" w:sz="0" w:space="0" w:color="auto"/>
        <w:bottom w:val="none" w:sz="0" w:space="0" w:color="auto"/>
        <w:right w:val="none" w:sz="0" w:space="0" w:color="auto"/>
      </w:divBdr>
    </w:div>
    <w:div w:id="995569515">
      <w:bodyDiv w:val="1"/>
      <w:marLeft w:val="0"/>
      <w:marRight w:val="0"/>
      <w:marTop w:val="0"/>
      <w:marBottom w:val="0"/>
      <w:divBdr>
        <w:top w:val="none" w:sz="0" w:space="0" w:color="auto"/>
        <w:left w:val="none" w:sz="0" w:space="0" w:color="auto"/>
        <w:bottom w:val="none" w:sz="0" w:space="0" w:color="auto"/>
        <w:right w:val="none" w:sz="0" w:space="0" w:color="auto"/>
      </w:divBdr>
    </w:div>
    <w:div w:id="1039473294">
      <w:bodyDiv w:val="1"/>
      <w:marLeft w:val="0"/>
      <w:marRight w:val="0"/>
      <w:marTop w:val="0"/>
      <w:marBottom w:val="0"/>
      <w:divBdr>
        <w:top w:val="none" w:sz="0" w:space="0" w:color="auto"/>
        <w:left w:val="none" w:sz="0" w:space="0" w:color="auto"/>
        <w:bottom w:val="none" w:sz="0" w:space="0" w:color="auto"/>
        <w:right w:val="none" w:sz="0" w:space="0" w:color="auto"/>
      </w:divBdr>
    </w:div>
    <w:div w:id="1060709901">
      <w:bodyDiv w:val="1"/>
      <w:marLeft w:val="0"/>
      <w:marRight w:val="0"/>
      <w:marTop w:val="0"/>
      <w:marBottom w:val="0"/>
      <w:divBdr>
        <w:top w:val="none" w:sz="0" w:space="0" w:color="auto"/>
        <w:left w:val="none" w:sz="0" w:space="0" w:color="auto"/>
        <w:bottom w:val="none" w:sz="0" w:space="0" w:color="auto"/>
        <w:right w:val="none" w:sz="0" w:space="0" w:color="auto"/>
      </w:divBdr>
    </w:div>
    <w:div w:id="1221525746">
      <w:bodyDiv w:val="1"/>
      <w:marLeft w:val="0"/>
      <w:marRight w:val="0"/>
      <w:marTop w:val="0"/>
      <w:marBottom w:val="0"/>
      <w:divBdr>
        <w:top w:val="none" w:sz="0" w:space="0" w:color="auto"/>
        <w:left w:val="none" w:sz="0" w:space="0" w:color="auto"/>
        <w:bottom w:val="none" w:sz="0" w:space="0" w:color="auto"/>
        <w:right w:val="none" w:sz="0" w:space="0" w:color="auto"/>
      </w:divBdr>
    </w:div>
    <w:div w:id="1283850618">
      <w:bodyDiv w:val="1"/>
      <w:marLeft w:val="0"/>
      <w:marRight w:val="0"/>
      <w:marTop w:val="0"/>
      <w:marBottom w:val="0"/>
      <w:divBdr>
        <w:top w:val="none" w:sz="0" w:space="0" w:color="auto"/>
        <w:left w:val="none" w:sz="0" w:space="0" w:color="auto"/>
        <w:bottom w:val="none" w:sz="0" w:space="0" w:color="auto"/>
        <w:right w:val="none" w:sz="0" w:space="0" w:color="auto"/>
      </w:divBdr>
    </w:div>
    <w:div w:id="1304431818">
      <w:bodyDiv w:val="1"/>
      <w:marLeft w:val="0"/>
      <w:marRight w:val="0"/>
      <w:marTop w:val="0"/>
      <w:marBottom w:val="0"/>
      <w:divBdr>
        <w:top w:val="none" w:sz="0" w:space="0" w:color="auto"/>
        <w:left w:val="none" w:sz="0" w:space="0" w:color="auto"/>
        <w:bottom w:val="none" w:sz="0" w:space="0" w:color="auto"/>
        <w:right w:val="none" w:sz="0" w:space="0" w:color="auto"/>
      </w:divBdr>
    </w:div>
    <w:div w:id="1319529861">
      <w:bodyDiv w:val="1"/>
      <w:marLeft w:val="0"/>
      <w:marRight w:val="0"/>
      <w:marTop w:val="0"/>
      <w:marBottom w:val="0"/>
      <w:divBdr>
        <w:top w:val="none" w:sz="0" w:space="0" w:color="auto"/>
        <w:left w:val="none" w:sz="0" w:space="0" w:color="auto"/>
        <w:bottom w:val="none" w:sz="0" w:space="0" w:color="auto"/>
        <w:right w:val="none" w:sz="0" w:space="0" w:color="auto"/>
      </w:divBdr>
    </w:div>
    <w:div w:id="1328747798">
      <w:bodyDiv w:val="1"/>
      <w:marLeft w:val="0"/>
      <w:marRight w:val="0"/>
      <w:marTop w:val="0"/>
      <w:marBottom w:val="0"/>
      <w:divBdr>
        <w:top w:val="none" w:sz="0" w:space="0" w:color="auto"/>
        <w:left w:val="none" w:sz="0" w:space="0" w:color="auto"/>
        <w:bottom w:val="none" w:sz="0" w:space="0" w:color="auto"/>
        <w:right w:val="none" w:sz="0" w:space="0" w:color="auto"/>
      </w:divBdr>
    </w:div>
    <w:div w:id="1331526065">
      <w:bodyDiv w:val="1"/>
      <w:marLeft w:val="0"/>
      <w:marRight w:val="0"/>
      <w:marTop w:val="0"/>
      <w:marBottom w:val="0"/>
      <w:divBdr>
        <w:top w:val="none" w:sz="0" w:space="0" w:color="auto"/>
        <w:left w:val="none" w:sz="0" w:space="0" w:color="auto"/>
        <w:bottom w:val="none" w:sz="0" w:space="0" w:color="auto"/>
        <w:right w:val="none" w:sz="0" w:space="0" w:color="auto"/>
      </w:divBdr>
    </w:div>
    <w:div w:id="1454445841">
      <w:bodyDiv w:val="1"/>
      <w:marLeft w:val="0"/>
      <w:marRight w:val="0"/>
      <w:marTop w:val="0"/>
      <w:marBottom w:val="0"/>
      <w:divBdr>
        <w:top w:val="none" w:sz="0" w:space="0" w:color="auto"/>
        <w:left w:val="none" w:sz="0" w:space="0" w:color="auto"/>
        <w:bottom w:val="none" w:sz="0" w:space="0" w:color="auto"/>
        <w:right w:val="none" w:sz="0" w:space="0" w:color="auto"/>
      </w:divBdr>
    </w:div>
    <w:div w:id="1472744351">
      <w:bodyDiv w:val="1"/>
      <w:marLeft w:val="0"/>
      <w:marRight w:val="0"/>
      <w:marTop w:val="0"/>
      <w:marBottom w:val="0"/>
      <w:divBdr>
        <w:top w:val="none" w:sz="0" w:space="0" w:color="auto"/>
        <w:left w:val="none" w:sz="0" w:space="0" w:color="auto"/>
        <w:bottom w:val="none" w:sz="0" w:space="0" w:color="auto"/>
        <w:right w:val="none" w:sz="0" w:space="0" w:color="auto"/>
      </w:divBdr>
    </w:div>
    <w:div w:id="1540973653">
      <w:bodyDiv w:val="1"/>
      <w:marLeft w:val="0"/>
      <w:marRight w:val="0"/>
      <w:marTop w:val="0"/>
      <w:marBottom w:val="0"/>
      <w:divBdr>
        <w:top w:val="none" w:sz="0" w:space="0" w:color="auto"/>
        <w:left w:val="none" w:sz="0" w:space="0" w:color="auto"/>
        <w:bottom w:val="none" w:sz="0" w:space="0" w:color="auto"/>
        <w:right w:val="none" w:sz="0" w:space="0" w:color="auto"/>
      </w:divBdr>
    </w:div>
    <w:div w:id="1574461161">
      <w:bodyDiv w:val="1"/>
      <w:marLeft w:val="0"/>
      <w:marRight w:val="0"/>
      <w:marTop w:val="0"/>
      <w:marBottom w:val="0"/>
      <w:divBdr>
        <w:top w:val="none" w:sz="0" w:space="0" w:color="auto"/>
        <w:left w:val="none" w:sz="0" w:space="0" w:color="auto"/>
        <w:bottom w:val="none" w:sz="0" w:space="0" w:color="auto"/>
        <w:right w:val="none" w:sz="0" w:space="0" w:color="auto"/>
      </w:divBdr>
    </w:div>
    <w:div w:id="1618953060">
      <w:bodyDiv w:val="1"/>
      <w:marLeft w:val="0"/>
      <w:marRight w:val="0"/>
      <w:marTop w:val="0"/>
      <w:marBottom w:val="0"/>
      <w:divBdr>
        <w:top w:val="none" w:sz="0" w:space="0" w:color="auto"/>
        <w:left w:val="none" w:sz="0" w:space="0" w:color="auto"/>
        <w:bottom w:val="none" w:sz="0" w:space="0" w:color="auto"/>
        <w:right w:val="none" w:sz="0" w:space="0" w:color="auto"/>
      </w:divBdr>
    </w:div>
    <w:div w:id="1630281005">
      <w:bodyDiv w:val="1"/>
      <w:marLeft w:val="0"/>
      <w:marRight w:val="0"/>
      <w:marTop w:val="0"/>
      <w:marBottom w:val="0"/>
      <w:divBdr>
        <w:top w:val="none" w:sz="0" w:space="0" w:color="auto"/>
        <w:left w:val="none" w:sz="0" w:space="0" w:color="auto"/>
        <w:bottom w:val="none" w:sz="0" w:space="0" w:color="auto"/>
        <w:right w:val="none" w:sz="0" w:space="0" w:color="auto"/>
      </w:divBdr>
    </w:div>
    <w:div w:id="1632399560">
      <w:bodyDiv w:val="1"/>
      <w:marLeft w:val="0"/>
      <w:marRight w:val="0"/>
      <w:marTop w:val="0"/>
      <w:marBottom w:val="0"/>
      <w:divBdr>
        <w:top w:val="none" w:sz="0" w:space="0" w:color="auto"/>
        <w:left w:val="none" w:sz="0" w:space="0" w:color="auto"/>
        <w:bottom w:val="none" w:sz="0" w:space="0" w:color="auto"/>
        <w:right w:val="none" w:sz="0" w:space="0" w:color="auto"/>
      </w:divBdr>
    </w:div>
    <w:div w:id="1712532220">
      <w:bodyDiv w:val="1"/>
      <w:marLeft w:val="0"/>
      <w:marRight w:val="0"/>
      <w:marTop w:val="0"/>
      <w:marBottom w:val="0"/>
      <w:divBdr>
        <w:top w:val="none" w:sz="0" w:space="0" w:color="auto"/>
        <w:left w:val="none" w:sz="0" w:space="0" w:color="auto"/>
        <w:bottom w:val="none" w:sz="0" w:space="0" w:color="auto"/>
        <w:right w:val="none" w:sz="0" w:space="0" w:color="auto"/>
      </w:divBdr>
    </w:div>
    <w:div w:id="1727416742">
      <w:bodyDiv w:val="1"/>
      <w:marLeft w:val="0"/>
      <w:marRight w:val="0"/>
      <w:marTop w:val="0"/>
      <w:marBottom w:val="0"/>
      <w:divBdr>
        <w:top w:val="none" w:sz="0" w:space="0" w:color="auto"/>
        <w:left w:val="none" w:sz="0" w:space="0" w:color="auto"/>
        <w:bottom w:val="none" w:sz="0" w:space="0" w:color="auto"/>
        <w:right w:val="none" w:sz="0" w:space="0" w:color="auto"/>
      </w:divBdr>
    </w:div>
    <w:div w:id="1742479646">
      <w:bodyDiv w:val="1"/>
      <w:marLeft w:val="0"/>
      <w:marRight w:val="0"/>
      <w:marTop w:val="0"/>
      <w:marBottom w:val="0"/>
      <w:divBdr>
        <w:top w:val="none" w:sz="0" w:space="0" w:color="auto"/>
        <w:left w:val="none" w:sz="0" w:space="0" w:color="auto"/>
        <w:bottom w:val="none" w:sz="0" w:space="0" w:color="auto"/>
        <w:right w:val="none" w:sz="0" w:space="0" w:color="auto"/>
      </w:divBdr>
    </w:div>
    <w:div w:id="1778674645">
      <w:bodyDiv w:val="1"/>
      <w:marLeft w:val="0"/>
      <w:marRight w:val="0"/>
      <w:marTop w:val="0"/>
      <w:marBottom w:val="0"/>
      <w:divBdr>
        <w:top w:val="none" w:sz="0" w:space="0" w:color="auto"/>
        <w:left w:val="none" w:sz="0" w:space="0" w:color="auto"/>
        <w:bottom w:val="none" w:sz="0" w:space="0" w:color="auto"/>
        <w:right w:val="none" w:sz="0" w:space="0" w:color="auto"/>
      </w:divBdr>
    </w:div>
    <w:div w:id="1778909414">
      <w:bodyDiv w:val="1"/>
      <w:marLeft w:val="0"/>
      <w:marRight w:val="0"/>
      <w:marTop w:val="0"/>
      <w:marBottom w:val="0"/>
      <w:divBdr>
        <w:top w:val="none" w:sz="0" w:space="0" w:color="auto"/>
        <w:left w:val="none" w:sz="0" w:space="0" w:color="auto"/>
        <w:bottom w:val="none" w:sz="0" w:space="0" w:color="auto"/>
        <w:right w:val="none" w:sz="0" w:space="0" w:color="auto"/>
      </w:divBdr>
    </w:div>
    <w:div w:id="1932002955">
      <w:bodyDiv w:val="1"/>
      <w:marLeft w:val="0"/>
      <w:marRight w:val="0"/>
      <w:marTop w:val="0"/>
      <w:marBottom w:val="0"/>
      <w:divBdr>
        <w:top w:val="none" w:sz="0" w:space="0" w:color="auto"/>
        <w:left w:val="none" w:sz="0" w:space="0" w:color="auto"/>
        <w:bottom w:val="none" w:sz="0" w:space="0" w:color="auto"/>
        <w:right w:val="none" w:sz="0" w:space="0" w:color="auto"/>
      </w:divBdr>
    </w:div>
    <w:div w:id="1963266459">
      <w:bodyDiv w:val="1"/>
      <w:marLeft w:val="0"/>
      <w:marRight w:val="0"/>
      <w:marTop w:val="0"/>
      <w:marBottom w:val="0"/>
      <w:divBdr>
        <w:top w:val="none" w:sz="0" w:space="0" w:color="auto"/>
        <w:left w:val="none" w:sz="0" w:space="0" w:color="auto"/>
        <w:bottom w:val="none" w:sz="0" w:space="0" w:color="auto"/>
        <w:right w:val="none" w:sz="0" w:space="0" w:color="auto"/>
      </w:divBdr>
    </w:div>
    <w:div w:id="1995984470">
      <w:bodyDiv w:val="1"/>
      <w:marLeft w:val="0"/>
      <w:marRight w:val="0"/>
      <w:marTop w:val="0"/>
      <w:marBottom w:val="0"/>
      <w:divBdr>
        <w:top w:val="none" w:sz="0" w:space="0" w:color="auto"/>
        <w:left w:val="none" w:sz="0" w:space="0" w:color="auto"/>
        <w:bottom w:val="none" w:sz="0" w:space="0" w:color="auto"/>
        <w:right w:val="none" w:sz="0" w:space="0" w:color="auto"/>
      </w:divBdr>
    </w:div>
    <w:div w:id="2030447011">
      <w:bodyDiv w:val="1"/>
      <w:marLeft w:val="0"/>
      <w:marRight w:val="0"/>
      <w:marTop w:val="0"/>
      <w:marBottom w:val="0"/>
      <w:divBdr>
        <w:top w:val="none" w:sz="0" w:space="0" w:color="auto"/>
        <w:left w:val="none" w:sz="0" w:space="0" w:color="auto"/>
        <w:bottom w:val="none" w:sz="0" w:space="0" w:color="auto"/>
        <w:right w:val="none" w:sz="0" w:space="0" w:color="auto"/>
      </w:divBdr>
    </w:div>
    <w:div w:id="2055885167">
      <w:bodyDiv w:val="1"/>
      <w:marLeft w:val="0"/>
      <w:marRight w:val="0"/>
      <w:marTop w:val="0"/>
      <w:marBottom w:val="0"/>
      <w:divBdr>
        <w:top w:val="none" w:sz="0" w:space="0" w:color="auto"/>
        <w:left w:val="none" w:sz="0" w:space="0" w:color="auto"/>
        <w:bottom w:val="none" w:sz="0" w:space="0" w:color="auto"/>
        <w:right w:val="none" w:sz="0" w:space="0" w:color="auto"/>
      </w:divBdr>
    </w:div>
    <w:div w:id="2067364949">
      <w:bodyDiv w:val="1"/>
      <w:marLeft w:val="0"/>
      <w:marRight w:val="0"/>
      <w:marTop w:val="0"/>
      <w:marBottom w:val="0"/>
      <w:divBdr>
        <w:top w:val="none" w:sz="0" w:space="0" w:color="auto"/>
        <w:left w:val="none" w:sz="0" w:space="0" w:color="auto"/>
        <w:bottom w:val="none" w:sz="0" w:space="0" w:color="auto"/>
        <w:right w:val="none" w:sz="0" w:space="0" w:color="auto"/>
      </w:divBdr>
    </w:div>
    <w:div w:id="2084527094">
      <w:bodyDiv w:val="1"/>
      <w:marLeft w:val="0"/>
      <w:marRight w:val="0"/>
      <w:marTop w:val="0"/>
      <w:marBottom w:val="0"/>
      <w:divBdr>
        <w:top w:val="none" w:sz="0" w:space="0" w:color="auto"/>
        <w:left w:val="none" w:sz="0" w:space="0" w:color="auto"/>
        <w:bottom w:val="none" w:sz="0" w:space="0" w:color="auto"/>
        <w:right w:val="none" w:sz="0" w:space="0" w:color="auto"/>
      </w:divBdr>
    </w:div>
    <w:div w:id="210383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4.png@01DB2EB2.7225FC3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CD5BC-883D-4CED-AA9E-B26F50D0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6111</Words>
  <Characters>33003</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Jose_Sebastiao_Pereira@banrisul.com.br</dc:creator>
  <cp:keywords/>
  <dc:description/>
  <cp:lastModifiedBy>milton fagundes</cp:lastModifiedBy>
  <cp:revision>5</cp:revision>
  <dcterms:created xsi:type="dcterms:W3CDTF">2024-11-27T19:12:00Z</dcterms:created>
  <dcterms:modified xsi:type="dcterms:W3CDTF">2024-11-27T22:39:00Z</dcterms:modified>
  <cp:contentStatus/>
</cp:coreProperties>
</file>